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007D9F30"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3GPP TSG RAN</w:t>
      </w:r>
      <w:r w:rsidR="005F59D8">
        <w:rPr>
          <w:rFonts w:eastAsia="Malgun Gothic"/>
          <w:b/>
          <w:bCs/>
          <w:sz w:val="28"/>
          <w:lang w:val="en-GB"/>
        </w:rPr>
        <w:t xml:space="preserve">5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751A39">
        <w:rPr>
          <w:rFonts w:eastAsia="Malgun Gothic"/>
          <w:b/>
          <w:bCs/>
          <w:sz w:val="28"/>
          <w:lang w:val="en-GB"/>
        </w:rPr>
        <w:t>7</w:t>
      </w:r>
      <w:r w:rsidRPr="004613C3">
        <w:rPr>
          <w:rFonts w:eastAsia="Malgun Gothic"/>
          <w:b/>
          <w:bCs/>
          <w:sz w:val="28"/>
          <w:lang w:val="en-GB"/>
        </w:rPr>
        <w:tab/>
        <w:t xml:space="preserve"> </w:t>
      </w:r>
      <w:r w:rsidRPr="004613C3">
        <w:rPr>
          <w:rFonts w:eastAsia="Malgun Gothic"/>
          <w:b/>
          <w:bCs/>
          <w:sz w:val="28"/>
          <w:lang w:val="en-GB"/>
        </w:rPr>
        <w:tab/>
      </w:r>
      <w:r w:rsidR="00265606" w:rsidRPr="00265606">
        <w:rPr>
          <w:rFonts w:eastAsia="Malgun Gothic"/>
          <w:b/>
          <w:bCs/>
          <w:sz w:val="28"/>
          <w:lang w:val="en-GB"/>
        </w:rPr>
        <w:t>R5-226533</w:t>
      </w:r>
    </w:p>
    <w:p w14:paraId="7AC8CAC4" w14:textId="1499A6AB" w:rsidR="00BA74A9" w:rsidRPr="004613C3" w:rsidRDefault="009129DF"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Toulouse, France</w:t>
      </w:r>
      <w:r w:rsidR="00296CBC" w:rsidRPr="00296CBC">
        <w:rPr>
          <w:rFonts w:eastAsia="Malgun Gothic"/>
          <w:b/>
          <w:bCs/>
          <w:sz w:val="28"/>
          <w:lang w:eastAsia="ko-KR"/>
        </w:rPr>
        <w:t xml:space="preserve">, </w:t>
      </w:r>
      <w:r w:rsidR="005F59D8">
        <w:rPr>
          <w:rFonts w:eastAsia="Malgun Gothic"/>
          <w:b/>
          <w:bCs/>
          <w:sz w:val="28"/>
          <w:lang w:eastAsia="ko-KR"/>
        </w:rPr>
        <w:t>14</w:t>
      </w:r>
      <w:r w:rsidR="00296CBC" w:rsidRPr="00296CBC">
        <w:rPr>
          <w:rFonts w:eastAsia="Malgun Gothic"/>
          <w:b/>
          <w:bCs/>
          <w:sz w:val="28"/>
          <w:vertAlign w:val="superscript"/>
          <w:lang w:eastAsia="ko-KR"/>
        </w:rPr>
        <w:t xml:space="preserve">th </w:t>
      </w:r>
      <w:r w:rsidR="00296CBC" w:rsidRPr="00296CBC">
        <w:rPr>
          <w:rFonts w:eastAsia="Malgun Gothic"/>
          <w:b/>
          <w:bCs/>
          <w:sz w:val="28"/>
          <w:lang w:eastAsia="ko-KR"/>
        </w:rPr>
        <w:t xml:space="preserve">– </w:t>
      </w:r>
      <w:r w:rsidR="005F59D8">
        <w:rPr>
          <w:rFonts w:eastAsia="Malgun Gothic"/>
          <w:b/>
          <w:bCs/>
          <w:sz w:val="28"/>
          <w:lang w:eastAsia="ko-KR"/>
        </w:rPr>
        <w:t>18</w:t>
      </w:r>
      <w:r w:rsidR="00296CBC" w:rsidRPr="00296CBC">
        <w:rPr>
          <w:rFonts w:eastAsia="Malgun Gothic"/>
          <w:b/>
          <w:bCs/>
          <w:sz w:val="28"/>
          <w:vertAlign w:val="superscript"/>
          <w:lang w:eastAsia="ko-KR"/>
        </w:rPr>
        <w:t>th</w:t>
      </w:r>
      <w:r w:rsidR="00296CBC" w:rsidRPr="00296CBC">
        <w:rPr>
          <w:rFonts w:eastAsia="Malgun Gothic"/>
          <w:b/>
          <w:bCs/>
          <w:sz w:val="28"/>
          <w:lang w:eastAsia="ko-KR"/>
        </w:rPr>
        <w:t xml:space="preserve"> </w:t>
      </w:r>
      <w:r w:rsidR="005F59D8">
        <w:rPr>
          <w:rFonts w:eastAsia="Malgun Gothic"/>
          <w:b/>
          <w:bCs/>
          <w:sz w:val="28"/>
          <w:lang w:eastAsia="ko-KR"/>
        </w:rPr>
        <w:t xml:space="preserve">November </w:t>
      </w:r>
      <w:r w:rsidR="00296CBC" w:rsidRPr="00296CBC">
        <w:rPr>
          <w:rFonts w:eastAsia="Malgun Gothic"/>
          <w:b/>
          <w:bCs/>
          <w:sz w:val="28"/>
          <w:lang w:eastAsia="ko-KR"/>
        </w:rPr>
        <w:t>202</w:t>
      </w:r>
      <w:r w:rsidR="00385482">
        <w:rPr>
          <w:rFonts w:eastAsia="Malgun Gothic"/>
          <w:b/>
          <w:bCs/>
          <w:sz w:val="28"/>
          <w:lang w:eastAsia="ko-KR"/>
        </w:rPr>
        <w:t>2</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4419BB9A" w:rsidR="00A2208A" w:rsidRPr="00BC6E8D" w:rsidRDefault="00A2208A" w:rsidP="00A2208A">
      <w:pPr>
        <w:ind w:left="2160" w:hanging="2160"/>
      </w:pPr>
      <w:r w:rsidRPr="00B55C47">
        <w:rPr>
          <w:b/>
        </w:rPr>
        <w:t>Title:</w:t>
      </w:r>
      <w:r w:rsidRPr="00B55C47">
        <w:rPr>
          <w:b/>
        </w:rPr>
        <w:tab/>
      </w:r>
      <w:r w:rsidR="0056655C" w:rsidRPr="0056655C">
        <w:rPr>
          <w:bCs/>
        </w:rPr>
        <w:t xml:space="preserve">On the MU for FR2 PC1 </w:t>
      </w:r>
      <w:r w:rsidR="00751A39">
        <w:rPr>
          <w:bCs/>
        </w:rPr>
        <w:t>Demod</w:t>
      </w:r>
    </w:p>
    <w:p w14:paraId="0483421E" w14:textId="36B1B45A" w:rsidR="00A2208A" w:rsidRPr="00B55C47" w:rsidRDefault="00A2208A" w:rsidP="00A2208A">
      <w:pPr>
        <w:rPr>
          <w:bCs/>
          <w:lang w:eastAsia="ja-JP"/>
        </w:rPr>
      </w:pPr>
      <w:r w:rsidRPr="00CB1662">
        <w:rPr>
          <w:b/>
        </w:rPr>
        <w:t>Agenda Item:</w:t>
      </w:r>
      <w:r w:rsidR="00BB2F5E" w:rsidRPr="00CB1662">
        <w:tab/>
      </w:r>
      <w:r w:rsidR="00BB2F5E" w:rsidRPr="00CB1662">
        <w:tab/>
      </w:r>
      <w:r w:rsidR="00F629E8" w:rsidRPr="00DE6E2F">
        <w:t>5.</w:t>
      </w:r>
      <w:r w:rsidR="00942BEB">
        <w:t>4.17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02E2F809" w:rsidR="00F002EE" w:rsidRPr="00B55C47" w:rsidRDefault="00B3129D" w:rsidP="00855AF8">
      <w:bookmarkStart w:id="0" w:name="OLE_LINK10"/>
      <w:bookmarkStart w:id="1" w:name="OLE_LINK11"/>
      <w:r>
        <w:t>At</w:t>
      </w:r>
      <w:r w:rsidR="00AB189B">
        <w:t xml:space="preserve"> the</w:t>
      </w:r>
      <w:r>
        <w:t xml:space="preserve"> </w:t>
      </w:r>
      <w:r w:rsidR="009C0AB8">
        <w:t>previous meeting</w:t>
      </w:r>
      <w:r w:rsidRPr="00855AF8">
        <w:t xml:space="preserve">, </w:t>
      </w:r>
      <w:r w:rsidR="00751A39">
        <w:t>the discussion of the MU for Demod for PC1 has started [</w:t>
      </w:r>
      <w:r w:rsidR="00210254">
        <w:t>1</w:t>
      </w:r>
      <w:r w:rsidR="00751A39">
        <w:t xml:space="preserve">]. In this </w:t>
      </w:r>
      <w:r w:rsidR="0056655C">
        <w:t>discussion paper</w:t>
      </w:r>
      <w:r w:rsidR="001034CA">
        <w:t>, we present</w:t>
      </w:r>
      <w:r>
        <w:t xml:space="preserve"> the results</w:t>
      </w:r>
      <w:r w:rsidR="0056655C">
        <w:t xml:space="preserve"> </w:t>
      </w:r>
      <w:r>
        <w:t xml:space="preserve">of our analysis </w:t>
      </w:r>
      <w:r w:rsidR="0056655C">
        <w:t xml:space="preserve">for </w:t>
      </w:r>
      <w:r w:rsidR="00751A39">
        <w:t xml:space="preserve">MU contributors </w:t>
      </w:r>
      <w:r>
        <w:t>based on the common assumptions</w:t>
      </w:r>
      <w:r w:rsidR="00F554AC">
        <w:t>.</w:t>
      </w:r>
    </w:p>
    <w:p w14:paraId="59D92B3E" w14:textId="4D6EACCA" w:rsidR="00FC45FA" w:rsidRDefault="00BC6E8D" w:rsidP="00FC45FA">
      <w:pPr>
        <w:pStyle w:val="berschrift1"/>
        <w:rPr>
          <w:lang w:val="en-US"/>
        </w:rPr>
      </w:pPr>
      <w:r>
        <w:rPr>
          <w:lang w:val="en-US"/>
        </w:rPr>
        <w:t>Discussion</w:t>
      </w:r>
    </w:p>
    <w:p w14:paraId="33D07BAD" w14:textId="418FE73A" w:rsidR="003B77F4" w:rsidRDefault="003A0E48" w:rsidP="003B77F4">
      <w:pPr>
        <w:spacing w:after="0" w:line="240" w:lineRule="auto"/>
        <w:rPr>
          <w:lang w:eastAsia="en-US"/>
        </w:rPr>
      </w:pPr>
      <w:r>
        <w:rPr>
          <w:lang w:eastAsia="en-US"/>
        </w:rPr>
        <w:t>W</w:t>
      </w:r>
      <w:r w:rsidR="003B77F4">
        <w:rPr>
          <w:lang w:eastAsia="en-US"/>
        </w:rPr>
        <w:t>e focus our analysis on the</w:t>
      </w:r>
      <w:r w:rsidR="00751A39">
        <w:rPr>
          <w:lang w:eastAsia="en-US"/>
        </w:rPr>
        <w:t xml:space="preserve"> MU contributors which are associated with the test equipment</w:t>
      </w:r>
      <w:r w:rsidR="003B77F4">
        <w:rPr>
          <w:lang w:eastAsia="en-US"/>
        </w:rPr>
        <w:t>.</w:t>
      </w:r>
    </w:p>
    <w:p w14:paraId="1B6AE70F" w14:textId="58521B14" w:rsidR="00751A39" w:rsidRDefault="00751A39" w:rsidP="003B77F4">
      <w:pPr>
        <w:spacing w:after="0" w:line="240" w:lineRule="auto"/>
        <w:rPr>
          <w:lang w:eastAsia="en-US"/>
        </w:rPr>
      </w:pPr>
    </w:p>
    <w:p w14:paraId="24947C25" w14:textId="77777777" w:rsidR="00AB189B" w:rsidRDefault="00AB189B" w:rsidP="00AB189B">
      <w:pPr>
        <w:spacing w:after="0" w:line="240" w:lineRule="auto"/>
        <w:rPr>
          <w:lang w:eastAsia="en-US"/>
        </w:rPr>
      </w:pPr>
      <w:r>
        <w:rPr>
          <w:lang w:eastAsia="en-US"/>
        </w:rPr>
        <w:t>The Noc level for PC1 is lower than that of PC3 as specified in TS 38.521-4 [2]:</w:t>
      </w:r>
      <w:bookmarkStart w:id="2" w:name="_Toc27479403"/>
      <w:bookmarkStart w:id="3" w:name="_Toc36058590"/>
      <w:bookmarkStart w:id="4" w:name="_Toc44067513"/>
      <w:bookmarkStart w:id="5" w:name="_Toc52716437"/>
      <w:bookmarkStart w:id="6" w:name="_Toc58239075"/>
      <w:bookmarkStart w:id="7" w:name="_Toc68246656"/>
      <w:bookmarkStart w:id="8" w:name="_Toc75789916"/>
      <w:bookmarkStart w:id="9" w:name="_Toc84264545"/>
      <w:bookmarkStart w:id="10" w:name="_Toc90560669"/>
    </w:p>
    <w:p w14:paraId="0325BF89" w14:textId="77777777" w:rsidR="00AB189B" w:rsidRDefault="00AB189B" w:rsidP="00AB189B">
      <w:pPr>
        <w:spacing w:after="0" w:line="240" w:lineRule="auto"/>
        <w:rPr>
          <w:rFonts w:eastAsia="Times New Roman" w:cs="Times New Roman"/>
          <w:sz w:val="24"/>
          <w:szCs w:val="20"/>
          <w:lang w:val="en-GB"/>
        </w:rPr>
      </w:pPr>
    </w:p>
    <w:p w14:paraId="46C379A2" w14:textId="6F6B5195" w:rsidR="00AB189B" w:rsidRPr="00AB189B" w:rsidRDefault="00AB189B" w:rsidP="00AB189B">
      <w:pPr>
        <w:shd w:val="clear" w:color="auto" w:fill="BFBFBF" w:themeFill="background1" w:themeFillShade="BF"/>
        <w:spacing w:after="0" w:line="240" w:lineRule="auto"/>
        <w:rPr>
          <w:lang w:eastAsia="en-US"/>
        </w:rPr>
      </w:pPr>
      <w:r w:rsidRPr="00AB189B">
        <w:rPr>
          <w:rFonts w:eastAsia="Times New Roman" w:cs="Times New Roman"/>
          <w:sz w:val="24"/>
          <w:szCs w:val="20"/>
          <w:lang w:val="en-GB"/>
        </w:rPr>
        <w:t>4</w:t>
      </w:r>
      <w:r w:rsidRPr="00AB189B">
        <w:rPr>
          <w:rFonts w:eastAsia="Times New Roman" w:cs="Times New Roman"/>
          <w:sz w:val="24"/>
          <w:szCs w:val="20"/>
          <w:lang w:val="en-GB" w:eastAsia="ja-JP"/>
        </w:rPr>
        <w:t>.5.</w:t>
      </w:r>
      <w:r w:rsidRPr="00AB189B">
        <w:rPr>
          <w:rFonts w:eastAsia="Times New Roman" w:cs="Times New Roman"/>
          <w:sz w:val="24"/>
          <w:szCs w:val="20"/>
          <w:lang w:val="en-GB"/>
        </w:rPr>
        <w:t>3</w:t>
      </w:r>
      <w:r w:rsidRPr="00AB189B">
        <w:rPr>
          <w:rFonts w:eastAsia="Times New Roman" w:cs="Times New Roman"/>
          <w:sz w:val="24"/>
          <w:szCs w:val="20"/>
          <w:lang w:val="en-GB" w:eastAsia="ja-JP"/>
        </w:rPr>
        <w:t>.</w:t>
      </w:r>
      <w:r w:rsidRPr="00AB189B">
        <w:rPr>
          <w:rFonts w:eastAsia="Times New Roman" w:cs="Times New Roman"/>
          <w:sz w:val="24"/>
          <w:szCs w:val="20"/>
          <w:lang w:val="en-GB"/>
        </w:rPr>
        <w:t>2</w:t>
      </w:r>
      <w:r w:rsidRPr="00AB189B">
        <w:rPr>
          <w:rFonts w:eastAsia="Times New Roman" w:cs="Times New Roman"/>
          <w:sz w:val="24"/>
          <w:szCs w:val="20"/>
          <w:lang w:val="en-GB"/>
        </w:rPr>
        <w:tab/>
        <w:t xml:space="preserve">Noc for </w:t>
      </w:r>
      <w:r w:rsidRPr="00AB189B">
        <w:rPr>
          <w:rFonts w:eastAsia="Times New Roman" w:cs="Times New Roman"/>
          <w:sz w:val="24"/>
          <w:szCs w:val="20"/>
          <w:lang w:val="en-GB" w:eastAsia="ja-JP"/>
        </w:rPr>
        <w:t>NR operating bands in FR2</w:t>
      </w:r>
      <w:bookmarkEnd w:id="2"/>
      <w:bookmarkEnd w:id="3"/>
      <w:bookmarkEnd w:id="4"/>
      <w:bookmarkEnd w:id="5"/>
      <w:bookmarkEnd w:id="6"/>
      <w:bookmarkEnd w:id="7"/>
      <w:bookmarkEnd w:id="8"/>
      <w:bookmarkEnd w:id="9"/>
      <w:bookmarkEnd w:id="10"/>
    </w:p>
    <w:p w14:paraId="541E1FF4" w14:textId="77777777" w:rsidR="00AB189B" w:rsidRPr="00AB189B" w:rsidRDefault="00AB189B" w:rsidP="00AB189B">
      <w:pPr>
        <w:shd w:val="clear" w:color="auto" w:fill="BFBFBF" w:themeFill="background1" w:themeFillShade="BF"/>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eastAsia="ja-JP"/>
        </w:rPr>
      </w:pPr>
      <w:r w:rsidRPr="00AB189B">
        <w:rPr>
          <w:rFonts w:ascii="Times New Roman" w:eastAsia="Times New Roman" w:hAnsi="Times New Roman" w:cs="Times New Roman"/>
          <w:color w:val="000000"/>
          <w:sz w:val="20"/>
          <w:szCs w:val="20"/>
          <w:lang w:val="en-GB" w:eastAsia="ja-JP"/>
        </w:rPr>
        <w:t xml:space="preserve">Values for Noc according to operating band and power class for single carrier requirements are specified in Table 4.5.3.2-1 for </w:t>
      </w:r>
      <w:r w:rsidRPr="00AB189B">
        <w:rPr>
          <w:rFonts w:ascii="Times New Roman" w:eastAsia="Calibri" w:hAnsi="Times New Roman" w:cs="Times New Roman"/>
          <w:b/>
          <w:color w:val="000000"/>
          <w:sz w:val="20"/>
          <w:szCs w:val="20"/>
          <w:lang w:val="en-GB" w:eastAsia="ja-JP"/>
        </w:rPr>
        <w:t>∆</w:t>
      </w:r>
      <w:r w:rsidRPr="00AB189B">
        <w:rPr>
          <w:rFonts w:ascii="Times New Roman" w:eastAsia="Calibri" w:hAnsi="Times New Roman" w:cs="Times New Roman"/>
          <w:b/>
          <w:color w:val="000000"/>
          <w:sz w:val="20"/>
          <w:szCs w:val="20"/>
          <w:vertAlign w:val="subscript"/>
          <w:lang w:val="en-GB" w:eastAsia="ja-JP"/>
        </w:rPr>
        <w:t>BB</w:t>
      </w:r>
      <w:r w:rsidRPr="00AB189B">
        <w:rPr>
          <w:rFonts w:ascii="Times New Roman" w:eastAsia="Times New Roman" w:hAnsi="Times New Roman" w:cs="Times New Roman"/>
          <w:color w:val="000000"/>
          <w:sz w:val="20"/>
          <w:szCs w:val="20"/>
          <w:lang w:val="en-GB" w:eastAsia="ja-JP"/>
        </w:rPr>
        <w:t xml:space="preserve"> =1dB.</w:t>
      </w:r>
    </w:p>
    <w:p w14:paraId="22BCC742"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before="60" w:after="180" w:line="240" w:lineRule="auto"/>
        <w:jc w:val="center"/>
        <w:textAlignment w:val="baseline"/>
        <w:rPr>
          <w:rFonts w:eastAsia="Times New Roman" w:cs="Times New Roman"/>
          <w:b/>
          <w:color w:val="000000"/>
          <w:sz w:val="20"/>
          <w:szCs w:val="20"/>
          <w:lang w:val="en-GB" w:eastAsia="ja-JP"/>
        </w:rPr>
      </w:pPr>
      <w:r w:rsidRPr="00AB189B">
        <w:rPr>
          <w:rFonts w:eastAsia="Times New Roman" w:cs="Times New Roman"/>
          <w:b/>
          <w:color w:val="000000"/>
          <w:sz w:val="20"/>
          <w:szCs w:val="20"/>
          <w:lang w:val="en-GB" w:eastAsia="ja-JP"/>
        </w:rPr>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AB189B" w:rsidRPr="00AB189B" w14:paraId="1A517CC2" w14:textId="77777777" w:rsidTr="0093059E">
        <w:tc>
          <w:tcPr>
            <w:tcW w:w="1608" w:type="dxa"/>
            <w:vMerge w:val="restart"/>
            <w:tcBorders>
              <w:top w:val="single" w:sz="4" w:space="0" w:color="auto"/>
              <w:left w:val="single" w:sz="4" w:space="0" w:color="auto"/>
              <w:bottom w:val="single" w:sz="4" w:space="0" w:color="auto"/>
              <w:right w:val="single" w:sz="4" w:space="0" w:color="auto"/>
            </w:tcBorders>
            <w:hideMark/>
          </w:tcPr>
          <w:p w14:paraId="3F34ECDE"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b/>
                <w:color w:val="000000"/>
                <w:sz w:val="18"/>
                <w:szCs w:val="20"/>
                <w:lang w:val="en-GB" w:eastAsia="ja-JP"/>
              </w:rPr>
            </w:pPr>
            <w:r w:rsidRPr="00AB189B">
              <w:rPr>
                <w:rFonts w:eastAsia="Calibri" w:cs="Times New Roman"/>
                <w:b/>
                <w:color w:val="000000"/>
                <w:sz w:val="18"/>
                <w:szCs w:val="20"/>
                <w:lang w:val="en-GB" w:eastAsia="ja-JP"/>
              </w:rPr>
              <w:t>Operating band</w:t>
            </w:r>
          </w:p>
        </w:tc>
        <w:tc>
          <w:tcPr>
            <w:tcW w:w="5766" w:type="dxa"/>
            <w:gridSpan w:val="4"/>
            <w:tcBorders>
              <w:top w:val="single" w:sz="4" w:space="0" w:color="auto"/>
              <w:left w:val="single" w:sz="4" w:space="0" w:color="auto"/>
              <w:bottom w:val="single" w:sz="4" w:space="0" w:color="auto"/>
              <w:right w:val="single" w:sz="4" w:space="0" w:color="auto"/>
            </w:tcBorders>
            <w:vAlign w:val="center"/>
            <w:hideMark/>
          </w:tcPr>
          <w:p w14:paraId="6C6FDBD5"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MS Mincho" w:cs="Times New Roman"/>
                <w:b/>
                <w:color w:val="000000"/>
                <w:sz w:val="18"/>
                <w:szCs w:val="20"/>
                <w:lang w:val="en-GB" w:eastAsia="ja-JP"/>
              </w:rPr>
            </w:pPr>
            <w:r w:rsidRPr="00AB189B">
              <w:rPr>
                <w:rFonts w:eastAsia="MS Mincho" w:cs="Times New Roman"/>
                <w:b/>
                <w:color w:val="000000"/>
                <w:sz w:val="18"/>
                <w:szCs w:val="20"/>
                <w:lang w:val="en-GB" w:eastAsia="ja-JP"/>
              </w:rPr>
              <w:t>UE Power class</w:t>
            </w:r>
          </w:p>
        </w:tc>
      </w:tr>
      <w:tr w:rsidR="00AB189B" w:rsidRPr="00AB189B" w14:paraId="4E23D546" w14:textId="77777777" w:rsidTr="0093059E">
        <w:tc>
          <w:tcPr>
            <w:tcW w:w="0" w:type="auto"/>
            <w:vMerge/>
            <w:tcBorders>
              <w:top w:val="single" w:sz="4" w:space="0" w:color="auto"/>
              <w:left w:val="single" w:sz="4" w:space="0" w:color="auto"/>
              <w:bottom w:val="single" w:sz="4" w:space="0" w:color="auto"/>
              <w:right w:val="single" w:sz="4" w:space="0" w:color="auto"/>
            </w:tcBorders>
            <w:vAlign w:val="center"/>
            <w:hideMark/>
          </w:tcPr>
          <w:p w14:paraId="432BD40D"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b/>
                <w:color w:val="000000"/>
                <w:sz w:val="18"/>
                <w:szCs w:val="20"/>
                <w:lang w:val="en-GB" w:eastAsia="ja-JP"/>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0372CBB2"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b/>
                <w:color w:val="000000"/>
                <w:sz w:val="18"/>
                <w:szCs w:val="20"/>
                <w:lang w:val="en-GB" w:eastAsia="ja-JP"/>
              </w:rPr>
            </w:pPr>
            <w:r w:rsidRPr="00AB189B">
              <w:rPr>
                <w:rFonts w:eastAsia="MS Mincho" w:cs="Times New Roman"/>
                <w:b/>
                <w:color w:val="000000"/>
                <w:sz w:val="18"/>
                <w:szCs w:val="20"/>
                <w:lang w:val="en-GB" w:eastAsia="ja-JP"/>
              </w:rPr>
              <w:t>1</w:t>
            </w:r>
          </w:p>
        </w:tc>
        <w:tc>
          <w:tcPr>
            <w:tcW w:w="1442" w:type="dxa"/>
            <w:tcBorders>
              <w:top w:val="single" w:sz="4" w:space="0" w:color="auto"/>
              <w:left w:val="single" w:sz="4" w:space="0" w:color="auto"/>
              <w:bottom w:val="single" w:sz="4" w:space="0" w:color="auto"/>
              <w:right w:val="single" w:sz="4" w:space="0" w:color="auto"/>
            </w:tcBorders>
            <w:hideMark/>
          </w:tcPr>
          <w:p w14:paraId="65FD1E63"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b/>
                <w:color w:val="000000"/>
                <w:sz w:val="18"/>
                <w:szCs w:val="20"/>
                <w:lang w:val="en-GB" w:eastAsia="ja-JP"/>
              </w:rPr>
            </w:pPr>
            <w:r w:rsidRPr="00AB189B">
              <w:rPr>
                <w:rFonts w:eastAsia="MS Mincho" w:cs="Times New Roman"/>
                <w:b/>
                <w:color w:val="000000"/>
                <w:sz w:val="18"/>
                <w:szCs w:val="20"/>
                <w:lang w:val="en-GB" w:eastAsia="ja-JP"/>
              </w:rPr>
              <w:t>2</w:t>
            </w:r>
          </w:p>
        </w:tc>
        <w:tc>
          <w:tcPr>
            <w:tcW w:w="1441" w:type="dxa"/>
            <w:tcBorders>
              <w:top w:val="single" w:sz="4" w:space="0" w:color="auto"/>
              <w:left w:val="single" w:sz="4" w:space="0" w:color="auto"/>
              <w:bottom w:val="single" w:sz="4" w:space="0" w:color="auto"/>
              <w:right w:val="single" w:sz="4" w:space="0" w:color="auto"/>
            </w:tcBorders>
            <w:hideMark/>
          </w:tcPr>
          <w:p w14:paraId="3A83BB0B"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b/>
                <w:color w:val="000000"/>
                <w:sz w:val="18"/>
                <w:szCs w:val="20"/>
                <w:lang w:val="en-GB" w:eastAsia="ja-JP"/>
              </w:rPr>
            </w:pPr>
            <w:r w:rsidRPr="00AB189B">
              <w:rPr>
                <w:rFonts w:eastAsia="MS Mincho" w:cs="Times New Roman"/>
                <w:b/>
                <w:color w:val="000000"/>
                <w:sz w:val="18"/>
                <w:szCs w:val="20"/>
                <w:lang w:val="en-GB" w:eastAsia="ja-JP"/>
              </w:rPr>
              <w:t>3</w:t>
            </w:r>
          </w:p>
        </w:tc>
        <w:tc>
          <w:tcPr>
            <w:tcW w:w="1442" w:type="dxa"/>
            <w:tcBorders>
              <w:top w:val="single" w:sz="4" w:space="0" w:color="auto"/>
              <w:left w:val="single" w:sz="4" w:space="0" w:color="auto"/>
              <w:bottom w:val="single" w:sz="4" w:space="0" w:color="auto"/>
              <w:right w:val="single" w:sz="4" w:space="0" w:color="auto"/>
            </w:tcBorders>
            <w:hideMark/>
          </w:tcPr>
          <w:p w14:paraId="6AAB713B"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b/>
                <w:color w:val="000000"/>
                <w:sz w:val="18"/>
                <w:szCs w:val="20"/>
                <w:lang w:val="en-GB" w:eastAsia="ja-JP"/>
              </w:rPr>
            </w:pPr>
            <w:r w:rsidRPr="00AB189B">
              <w:rPr>
                <w:rFonts w:eastAsia="MS Mincho" w:cs="Times New Roman"/>
                <w:b/>
                <w:color w:val="000000"/>
                <w:sz w:val="18"/>
                <w:szCs w:val="20"/>
                <w:lang w:val="en-GB" w:eastAsia="ja-JP"/>
              </w:rPr>
              <w:t>4</w:t>
            </w:r>
          </w:p>
        </w:tc>
      </w:tr>
      <w:tr w:rsidR="00AB189B" w:rsidRPr="00AB189B" w14:paraId="1429EC81" w14:textId="77777777" w:rsidTr="0093059E">
        <w:tc>
          <w:tcPr>
            <w:tcW w:w="1608" w:type="dxa"/>
            <w:tcBorders>
              <w:top w:val="single" w:sz="4" w:space="0" w:color="auto"/>
              <w:left w:val="single" w:sz="4" w:space="0" w:color="auto"/>
              <w:bottom w:val="single" w:sz="4" w:space="0" w:color="auto"/>
              <w:right w:val="single" w:sz="4" w:space="0" w:color="auto"/>
            </w:tcBorders>
            <w:vAlign w:val="center"/>
            <w:hideMark/>
          </w:tcPr>
          <w:p w14:paraId="4FB9CD66"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Calibri" w:cs="Times New Roman"/>
                <w:color w:val="000000"/>
                <w:sz w:val="18"/>
                <w:szCs w:val="20"/>
                <w:lang w:val="en-GB" w:eastAsia="ja-JP"/>
              </w:rPr>
              <w:t>n257</w:t>
            </w:r>
          </w:p>
        </w:tc>
        <w:tc>
          <w:tcPr>
            <w:tcW w:w="1441" w:type="dxa"/>
            <w:tcBorders>
              <w:top w:val="single" w:sz="4" w:space="0" w:color="auto"/>
              <w:left w:val="single" w:sz="4" w:space="0" w:color="auto"/>
              <w:bottom w:val="single" w:sz="4" w:space="0" w:color="auto"/>
              <w:right w:val="single" w:sz="4" w:space="0" w:color="auto"/>
            </w:tcBorders>
            <w:vAlign w:val="bottom"/>
            <w:hideMark/>
          </w:tcPr>
          <w:p w14:paraId="26099C45"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Calibri" w:cs="Times New Roman"/>
                <w:color w:val="000000"/>
                <w:sz w:val="18"/>
                <w:szCs w:val="20"/>
                <w:lang w:val="en-GB" w:eastAsia="ja-JP"/>
              </w:rPr>
              <w:t>-166.8</w:t>
            </w:r>
          </w:p>
        </w:tc>
        <w:tc>
          <w:tcPr>
            <w:tcW w:w="1442" w:type="dxa"/>
            <w:tcBorders>
              <w:top w:val="single" w:sz="4" w:space="0" w:color="auto"/>
              <w:left w:val="single" w:sz="4" w:space="0" w:color="auto"/>
              <w:bottom w:val="single" w:sz="4" w:space="0" w:color="auto"/>
              <w:right w:val="single" w:sz="4" w:space="0" w:color="auto"/>
            </w:tcBorders>
            <w:vAlign w:val="bottom"/>
            <w:hideMark/>
          </w:tcPr>
          <w:p w14:paraId="59BCD137"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Calibri" w:cs="Times New Roman"/>
                <w:color w:val="000000"/>
                <w:sz w:val="18"/>
                <w:szCs w:val="20"/>
                <w:lang w:val="en-GB" w:eastAsia="ja-JP"/>
              </w:rPr>
              <w:t>-163.8</w:t>
            </w:r>
          </w:p>
        </w:tc>
        <w:tc>
          <w:tcPr>
            <w:tcW w:w="1441" w:type="dxa"/>
            <w:tcBorders>
              <w:top w:val="single" w:sz="4" w:space="0" w:color="auto"/>
              <w:left w:val="single" w:sz="4" w:space="0" w:color="auto"/>
              <w:bottom w:val="single" w:sz="4" w:space="0" w:color="auto"/>
              <w:right w:val="single" w:sz="4" w:space="0" w:color="auto"/>
            </w:tcBorders>
            <w:vAlign w:val="bottom"/>
            <w:hideMark/>
          </w:tcPr>
          <w:p w14:paraId="3BB31621"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Calibri" w:cs="Times New Roman"/>
                <w:color w:val="000000"/>
                <w:sz w:val="18"/>
                <w:szCs w:val="20"/>
                <w:lang w:val="en-GB" w:eastAsia="ja-JP"/>
              </w:rPr>
              <w:t>-157.6</w:t>
            </w:r>
          </w:p>
        </w:tc>
        <w:tc>
          <w:tcPr>
            <w:tcW w:w="1442" w:type="dxa"/>
            <w:tcBorders>
              <w:top w:val="single" w:sz="4" w:space="0" w:color="auto"/>
              <w:left w:val="single" w:sz="4" w:space="0" w:color="auto"/>
              <w:bottom w:val="single" w:sz="4" w:space="0" w:color="auto"/>
              <w:right w:val="single" w:sz="4" w:space="0" w:color="auto"/>
            </w:tcBorders>
            <w:vAlign w:val="bottom"/>
            <w:hideMark/>
          </w:tcPr>
          <w:p w14:paraId="6064C016"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Calibri" w:cs="Times New Roman"/>
                <w:color w:val="000000"/>
                <w:sz w:val="18"/>
                <w:szCs w:val="20"/>
                <w:lang w:val="en-GB" w:eastAsia="ja-JP"/>
              </w:rPr>
              <w:t>-166.3</w:t>
            </w:r>
          </w:p>
        </w:tc>
      </w:tr>
      <w:tr w:rsidR="00AB189B" w:rsidRPr="00AB189B" w14:paraId="1C8757CC" w14:textId="77777777" w:rsidTr="0093059E">
        <w:tc>
          <w:tcPr>
            <w:tcW w:w="1608" w:type="dxa"/>
            <w:tcBorders>
              <w:top w:val="single" w:sz="4" w:space="0" w:color="auto"/>
              <w:left w:val="single" w:sz="4" w:space="0" w:color="auto"/>
              <w:bottom w:val="single" w:sz="4" w:space="0" w:color="auto"/>
              <w:right w:val="single" w:sz="4" w:space="0" w:color="auto"/>
            </w:tcBorders>
            <w:vAlign w:val="center"/>
            <w:hideMark/>
          </w:tcPr>
          <w:p w14:paraId="2762C28B"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MS Mincho" w:cs="Times New Roman"/>
                <w:color w:val="000000"/>
                <w:sz w:val="18"/>
                <w:szCs w:val="20"/>
                <w:lang w:val="en-GB" w:eastAsia="ja-JP"/>
              </w:rPr>
              <w:t>n258</w:t>
            </w:r>
          </w:p>
        </w:tc>
        <w:tc>
          <w:tcPr>
            <w:tcW w:w="1441" w:type="dxa"/>
            <w:tcBorders>
              <w:top w:val="single" w:sz="4" w:space="0" w:color="auto"/>
              <w:left w:val="single" w:sz="4" w:space="0" w:color="auto"/>
              <w:bottom w:val="single" w:sz="4" w:space="0" w:color="auto"/>
              <w:right w:val="single" w:sz="4" w:space="0" w:color="auto"/>
            </w:tcBorders>
            <w:vAlign w:val="bottom"/>
            <w:hideMark/>
          </w:tcPr>
          <w:p w14:paraId="12CE1262"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Calibri" w:cs="Times New Roman"/>
                <w:color w:val="000000"/>
                <w:sz w:val="18"/>
                <w:szCs w:val="20"/>
                <w:lang w:val="en-GB" w:eastAsia="ja-JP"/>
              </w:rPr>
              <w:t>-166.8</w:t>
            </w:r>
          </w:p>
        </w:tc>
        <w:tc>
          <w:tcPr>
            <w:tcW w:w="1442" w:type="dxa"/>
            <w:tcBorders>
              <w:top w:val="single" w:sz="4" w:space="0" w:color="auto"/>
              <w:left w:val="single" w:sz="4" w:space="0" w:color="auto"/>
              <w:bottom w:val="single" w:sz="4" w:space="0" w:color="auto"/>
              <w:right w:val="single" w:sz="4" w:space="0" w:color="auto"/>
            </w:tcBorders>
            <w:vAlign w:val="bottom"/>
            <w:hideMark/>
          </w:tcPr>
          <w:p w14:paraId="06A402CF"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Calibri" w:cs="Times New Roman"/>
                <w:color w:val="000000"/>
                <w:sz w:val="18"/>
                <w:szCs w:val="20"/>
                <w:lang w:val="en-GB" w:eastAsia="ja-JP"/>
              </w:rPr>
              <w:t>-163.8</w:t>
            </w:r>
          </w:p>
        </w:tc>
        <w:tc>
          <w:tcPr>
            <w:tcW w:w="1441" w:type="dxa"/>
            <w:tcBorders>
              <w:top w:val="single" w:sz="4" w:space="0" w:color="auto"/>
              <w:left w:val="single" w:sz="4" w:space="0" w:color="auto"/>
              <w:bottom w:val="single" w:sz="4" w:space="0" w:color="auto"/>
              <w:right w:val="single" w:sz="4" w:space="0" w:color="auto"/>
            </w:tcBorders>
            <w:vAlign w:val="bottom"/>
            <w:hideMark/>
          </w:tcPr>
          <w:p w14:paraId="5D0C846E"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Calibri" w:cs="Times New Roman"/>
                <w:color w:val="000000"/>
                <w:sz w:val="18"/>
                <w:szCs w:val="20"/>
                <w:lang w:val="en-GB" w:eastAsia="ja-JP"/>
              </w:rPr>
              <w:t>-157.6</w:t>
            </w:r>
          </w:p>
        </w:tc>
        <w:tc>
          <w:tcPr>
            <w:tcW w:w="1442" w:type="dxa"/>
            <w:tcBorders>
              <w:top w:val="single" w:sz="4" w:space="0" w:color="auto"/>
              <w:left w:val="single" w:sz="4" w:space="0" w:color="auto"/>
              <w:bottom w:val="single" w:sz="4" w:space="0" w:color="auto"/>
              <w:right w:val="single" w:sz="4" w:space="0" w:color="auto"/>
            </w:tcBorders>
            <w:vAlign w:val="bottom"/>
            <w:hideMark/>
          </w:tcPr>
          <w:p w14:paraId="444169DF"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Calibri" w:cs="Times New Roman"/>
                <w:color w:val="000000"/>
                <w:sz w:val="18"/>
                <w:szCs w:val="20"/>
                <w:lang w:val="en-GB" w:eastAsia="ja-JP"/>
              </w:rPr>
              <w:t>-166.3</w:t>
            </w:r>
          </w:p>
        </w:tc>
      </w:tr>
      <w:tr w:rsidR="00AB189B" w:rsidRPr="00AB189B" w14:paraId="52C6994F" w14:textId="77777777" w:rsidTr="0093059E">
        <w:tc>
          <w:tcPr>
            <w:tcW w:w="1608" w:type="dxa"/>
            <w:tcBorders>
              <w:top w:val="single" w:sz="4" w:space="0" w:color="auto"/>
              <w:left w:val="single" w:sz="4" w:space="0" w:color="auto"/>
              <w:bottom w:val="single" w:sz="4" w:space="0" w:color="auto"/>
              <w:right w:val="single" w:sz="4" w:space="0" w:color="auto"/>
            </w:tcBorders>
            <w:vAlign w:val="center"/>
            <w:hideMark/>
          </w:tcPr>
          <w:p w14:paraId="0F3FE10A"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MS Mincho" w:cs="Times New Roman"/>
                <w:color w:val="000000"/>
                <w:sz w:val="18"/>
                <w:szCs w:val="20"/>
                <w:lang w:val="en-GB" w:eastAsia="ja-JP"/>
              </w:rPr>
              <w:t>n260</w:t>
            </w:r>
          </w:p>
        </w:tc>
        <w:tc>
          <w:tcPr>
            <w:tcW w:w="1441" w:type="dxa"/>
            <w:tcBorders>
              <w:top w:val="single" w:sz="4" w:space="0" w:color="auto"/>
              <w:left w:val="single" w:sz="4" w:space="0" w:color="auto"/>
              <w:bottom w:val="single" w:sz="4" w:space="0" w:color="auto"/>
              <w:right w:val="single" w:sz="4" w:space="0" w:color="auto"/>
            </w:tcBorders>
            <w:vAlign w:val="bottom"/>
            <w:hideMark/>
          </w:tcPr>
          <w:p w14:paraId="20A8EB64"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Calibri" w:cs="Times New Roman"/>
                <w:color w:val="000000"/>
                <w:sz w:val="18"/>
                <w:szCs w:val="20"/>
                <w:lang w:val="en-GB" w:eastAsia="ja-JP"/>
              </w:rPr>
              <w:t>-163.8</w:t>
            </w:r>
          </w:p>
        </w:tc>
        <w:tc>
          <w:tcPr>
            <w:tcW w:w="1442" w:type="dxa"/>
            <w:tcBorders>
              <w:top w:val="single" w:sz="4" w:space="0" w:color="auto"/>
              <w:left w:val="single" w:sz="4" w:space="0" w:color="auto"/>
              <w:bottom w:val="single" w:sz="4" w:space="0" w:color="auto"/>
              <w:right w:val="single" w:sz="4" w:space="0" w:color="auto"/>
            </w:tcBorders>
            <w:vAlign w:val="bottom"/>
          </w:tcPr>
          <w:p w14:paraId="0B5B1BFF"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p>
        </w:tc>
        <w:tc>
          <w:tcPr>
            <w:tcW w:w="1441" w:type="dxa"/>
            <w:tcBorders>
              <w:top w:val="single" w:sz="4" w:space="0" w:color="auto"/>
              <w:left w:val="single" w:sz="4" w:space="0" w:color="auto"/>
              <w:bottom w:val="single" w:sz="4" w:space="0" w:color="auto"/>
              <w:right w:val="single" w:sz="4" w:space="0" w:color="auto"/>
            </w:tcBorders>
            <w:vAlign w:val="bottom"/>
            <w:hideMark/>
          </w:tcPr>
          <w:p w14:paraId="414DAFBF"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Calibri" w:cs="Times New Roman"/>
                <w:color w:val="000000"/>
                <w:sz w:val="18"/>
                <w:szCs w:val="20"/>
                <w:lang w:val="en-GB" w:eastAsia="ja-JP"/>
              </w:rPr>
              <w:t>-155.0</w:t>
            </w:r>
          </w:p>
        </w:tc>
        <w:tc>
          <w:tcPr>
            <w:tcW w:w="1442" w:type="dxa"/>
            <w:tcBorders>
              <w:top w:val="single" w:sz="4" w:space="0" w:color="auto"/>
              <w:left w:val="single" w:sz="4" w:space="0" w:color="auto"/>
              <w:bottom w:val="single" w:sz="4" w:space="0" w:color="auto"/>
              <w:right w:val="single" w:sz="4" w:space="0" w:color="auto"/>
            </w:tcBorders>
            <w:vAlign w:val="bottom"/>
            <w:hideMark/>
          </w:tcPr>
          <w:p w14:paraId="5C5C0F5F"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Calibri" w:cs="Times New Roman"/>
                <w:color w:val="000000"/>
                <w:sz w:val="18"/>
                <w:szCs w:val="20"/>
                <w:lang w:val="en-GB" w:eastAsia="ja-JP"/>
              </w:rPr>
              <w:t>-164.3</w:t>
            </w:r>
          </w:p>
        </w:tc>
      </w:tr>
      <w:tr w:rsidR="00AB189B" w:rsidRPr="00AB189B" w14:paraId="0CD572F0" w14:textId="77777777" w:rsidTr="0093059E">
        <w:tc>
          <w:tcPr>
            <w:tcW w:w="1608" w:type="dxa"/>
            <w:tcBorders>
              <w:top w:val="single" w:sz="4" w:space="0" w:color="auto"/>
              <w:left w:val="single" w:sz="4" w:space="0" w:color="auto"/>
              <w:bottom w:val="single" w:sz="4" w:space="0" w:color="auto"/>
              <w:right w:val="single" w:sz="4" w:space="0" w:color="auto"/>
            </w:tcBorders>
            <w:vAlign w:val="center"/>
            <w:hideMark/>
          </w:tcPr>
          <w:p w14:paraId="27F457D3"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MS Mincho" w:cs="Times New Roman"/>
                <w:color w:val="000000"/>
                <w:sz w:val="18"/>
                <w:szCs w:val="20"/>
                <w:lang w:val="en-GB" w:eastAsia="ja-JP"/>
              </w:rPr>
            </w:pPr>
            <w:r w:rsidRPr="00AB189B">
              <w:rPr>
                <w:rFonts w:eastAsia="MS Mincho" w:cs="Times New Roman"/>
                <w:color w:val="000000"/>
                <w:sz w:val="18"/>
                <w:szCs w:val="20"/>
                <w:lang w:val="en-GB" w:eastAsia="ja-JP"/>
              </w:rPr>
              <w:t>n261</w:t>
            </w:r>
          </w:p>
        </w:tc>
        <w:tc>
          <w:tcPr>
            <w:tcW w:w="1441" w:type="dxa"/>
            <w:tcBorders>
              <w:top w:val="single" w:sz="4" w:space="0" w:color="auto"/>
              <w:left w:val="single" w:sz="4" w:space="0" w:color="auto"/>
              <w:bottom w:val="single" w:sz="4" w:space="0" w:color="auto"/>
              <w:right w:val="single" w:sz="4" w:space="0" w:color="auto"/>
            </w:tcBorders>
            <w:vAlign w:val="bottom"/>
            <w:hideMark/>
          </w:tcPr>
          <w:p w14:paraId="63D9F13F"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Calibri" w:cs="Times New Roman"/>
                <w:color w:val="000000"/>
                <w:sz w:val="18"/>
                <w:szCs w:val="20"/>
                <w:lang w:val="en-GB" w:eastAsia="ja-JP"/>
              </w:rPr>
              <w:t>-166.8</w:t>
            </w:r>
          </w:p>
        </w:tc>
        <w:tc>
          <w:tcPr>
            <w:tcW w:w="1442" w:type="dxa"/>
            <w:tcBorders>
              <w:top w:val="single" w:sz="4" w:space="0" w:color="auto"/>
              <w:left w:val="single" w:sz="4" w:space="0" w:color="auto"/>
              <w:bottom w:val="single" w:sz="4" w:space="0" w:color="auto"/>
              <w:right w:val="single" w:sz="4" w:space="0" w:color="auto"/>
            </w:tcBorders>
            <w:vAlign w:val="bottom"/>
            <w:hideMark/>
          </w:tcPr>
          <w:p w14:paraId="3B08F58C"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Calibri" w:cs="Times New Roman"/>
                <w:color w:val="000000"/>
                <w:sz w:val="18"/>
                <w:szCs w:val="20"/>
                <w:lang w:val="en-GB" w:eastAsia="ja-JP"/>
              </w:rPr>
              <w:t>-163.8</w:t>
            </w:r>
          </w:p>
        </w:tc>
        <w:tc>
          <w:tcPr>
            <w:tcW w:w="1441" w:type="dxa"/>
            <w:tcBorders>
              <w:top w:val="single" w:sz="4" w:space="0" w:color="auto"/>
              <w:left w:val="single" w:sz="4" w:space="0" w:color="auto"/>
              <w:bottom w:val="single" w:sz="4" w:space="0" w:color="auto"/>
              <w:right w:val="single" w:sz="4" w:space="0" w:color="auto"/>
            </w:tcBorders>
            <w:vAlign w:val="bottom"/>
            <w:hideMark/>
          </w:tcPr>
          <w:p w14:paraId="61C0D8C5"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Calibri" w:cs="Times New Roman"/>
                <w:color w:val="000000"/>
                <w:sz w:val="18"/>
                <w:szCs w:val="20"/>
                <w:lang w:val="en-GB" w:eastAsia="ja-JP"/>
              </w:rPr>
              <w:t>-157.6</w:t>
            </w:r>
          </w:p>
        </w:tc>
        <w:tc>
          <w:tcPr>
            <w:tcW w:w="1442" w:type="dxa"/>
            <w:tcBorders>
              <w:top w:val="single" w:sz="4" w:space="0" w:color="auto"/>
              <w:left w:val="single" w:sz="4" w:space="0" w:color="auto"/>
              <w:bottom w:val="single" w:sz="4" w:space="0" w:color="auto"/>
              <w:right w:val="single" w:sz="4" w:space="0" w:color="auto"/>
            </w:tcBorders>
            <w:vAlign w:val="bottom"/>
            <w:hideMark/>
          </w:tcPr>
          <w:p w14:paraId="3E48E066"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Calibri" w:cs="Times New Roman"/>
                <w:color w:val="000000"/>
                <w:sz w:val="18"/>
                <w:szCs w:val="20"/>
                <w:lang w:val="en-GB" w:eastAsia="ja-JP"/>
              </w:rPr>
            </w:pPr>
            <w:r w:rsidRPr="00AB189B">
              <w:rPr>
                <w:rFonts w:eastAsia="Calibri" w:cs="Times New Roman"/>
                <w:color w:val="000000"/>
                <w:sz w:val="18"/>
                <w:szCs w:val="20"/>
                <w:lang w:val="en-GB" w:eastAsia="ja-JP"/>
              </w:rPr>
              <w:t>-166.3</w:t>
            </w:r>
          </w:p>
        </w:tc>
      </w:tr>
      <w:tr w:rsidR="00AB189B" w:rsidRPr="00AB189B" w14:paraId="6C6048F6" w14:textId="77777777" w:rsidTr="0093059E">
        <w:tc>
          <w:tcPr>
            <w:tcW w:w="7374" w:type="dxa"/>
            <w:gridSpan w:val="5"/>
            <w:tcBorders>
              <w:top w:val="single" w:sz="4" w:space="0" w:color="auto"/>
              <w:left w:val="single" w:sz="4" w:space="0" w:color="auto"/>
              <w:bottom w:val="single" w:sz="4" w:space="0" w:color="auto"/>
              <w:right w:val="single" w:sz="4" w:space="0" w:color="auto"/>
            </w:tcBorders>
            <w:vAlign w:val="center"/>
            <w:hideMark/>
          </w:tcPr>
          <w:p w14:paraId="73A71868" w14:textId="77777777" w:rsidR="00AB189B" w:rsidRPr="00AB189B" w:rsidRDefault="00AB189B" w:rsidP="00AB189B">
            <w:pPr>
              <w:keepNext/>
              <w:keepLines/>
              <w:shd w:val="clear" w:color="auto" w:fill="BFBFBF" w:themeFill="background1" w:themeFillShade="BF"/>
              <w:overflowPunct w:val="0"/>
              <w:autoSpaceDE w:val="0"/>
              <w:autoSpaceDN w:val="0"/>
              <w:adjustRightInd w:val="0"/>
              <w:spacing w:after="0" w:line="240" w:lineRule="auto"/>
              <w:ind w:left="851" w:hanging="851"/>
              <w:textAlignment w:val="baseline"/>
              <w:rPr>
                <w:rFonts w:eastAsia="Times New Roman" w:cs="Times New Roman"/>
                <w:color w:val="000000"/>
                <w:sz w:val="18"/>
                <w:szCs w:val="20"/>
                <w:lang w:val="en-GB" w:eastAsia="ja-JP"/>
              </w:rPr>
            </w:pPr>
            <w:r w:rsidRPr="00AB189B">
              <w:rPr>
                <w:rFonts w:eastAsia="Times New Roman" w:cs="Times New Roman"/>
                <w:color w:val="000000"/>
                <w:sz w:val="18"/>
                <w:szCs w:val="20"/>
                <w:lang w:val="en-GB" w:eastAsia="ja-JP"/>
              </w:rPr>
              <w:t>Note 1:</w:t>
            </w:r>
            <w:r w:rsidRPr="00AB189B">
              <w:rPr>
                <w:rFonts w:eastAsia="Times New Roman" w:cs="Times New Roman"/>
                <w:color w:val="000000"/>
                <w:sz w:val="24"/>
                <w:szCs w:val="20"/>
                <w:lang w:val="en-GB"/>
              </w:rPr>
              <w:tab/>
            </w:r>
            <w:r w:rsidRPr="00AB189B">
              <w:rPr>
                <w:rFonts w:eastAsia="Times New Roman" w:cs="Times New Roman"/>
                <w:color w:val="000000"/>
                <w:sz w:val="18"/>
                <w:szCs w:val="20"/>
                <w:lang w:val="en-GB" w:eastAsia="ja-JP"/>
              </w:rPr>
              <w:t>Noc levels are specified in dBm/Hz</w:t>
            </w:r>
          </w:p>
        </w:tc>
      </w:tr>
    </w:tbl>
    <w:p w14:paraId="107F52FA" w14:textId="77777777" w:rsidR="00AB189B" w:rsidRDefault="00AB189B" w:rsidP="003B77F4">
      <w:pPr>
        <w:spacing w:after="0" w:line="240" w:lineRule="auto"/>
        <w:rPr>
          <w:lang w:eastAsia="en-US"/>
        </w:rPr>
      </w:pPr>
    </w:p>
    <w:p w14:paraId="7360C623" w14:textId="01BB549E" w:rsidR="00751A39" w:rsidRDefault="00680D34" w:rsidP="003B77F4">
      <w:pPr>
        <w:spacing w:after="0" w:line="240" w:lineRule="auto"/>
        <w:rPr>
          <w:lang w:eastAsia="en-US"/>
        </w:rPr>
      </w:pPr>
      <w:r>
        <w:rPr>
          <w:lang w:eastAsia="en-US"/>
        </w:rPr>
        <w:t>B</w:t>
      </w:r>
      <w:r w:rsidR="00F739A1">
        <w:rPr>
          <w:lang w:eastAsia="en-US"/>
        </w:rPr>
        <w:t xml:space="preserve">ased on </w:t>
      </w:r>
      <w:r>
        <w:rPr>
          <w:lang w:eastAsia="en-US"/>
        </w:rPr>
        <w:t xml:space="preserve">our </w:t>
      </w:r>
      <w:r w:rsidR="00F739A1">
        <w:rPr>
          <w:lang w:eastAsia="en-US"/>
        </w:rPr>
        <w:t>MU assessment, the PC3 values for the MU contributors AWGN flatness and signal flatness</w:t>
      </w:r>
      <w:r w:rsidR="009B4C8D">
        <w:t>,</w:t>
      </w:r>
      <w:r w:rsidR="00F739A1">
        <w:t xml:space="preserve"> </w:t>
      </w:r>
      <w:r w:rsidR="00F739A1" w:rsidRPr="009709C5">
        <w:t>gNB emulator SNR</w:t>
      </w:r>
      <w:r w:rsidR="00F739A1">
        <w:rPr>
          <w:lang w:eastAsia="en-US"/>
        </w:rPr>
        <w:t xml:space="preserve">, </w:t>
      </w:r>
      <w:r w:rsidR="009B4C8D">
        <w:rPr>
          <w:lang w:eastAsia="en-US"/>
        </w:rPr>
        <w:t xml:space="preserve">and </w:t>
      </w:r>
      <w:r w:rsidR="00F739A1" w:rsidRPr="009709C5">
        <w:t>gNB emulator fading model impairments</w:t>
      </w:r>
      <w:r w:rsidR="00F739A1">
        <w:t xml:space="preserve"> can be reused for PC1.</w:t>
      </w:r>
    </w:p>
    <w:p w14:paraId="4FF3050D" w14:textId="42CCD19D" w:rsidR="00751A39" w:rsidRDefault="00751A39" w:rsidP="003B77F4">
      <w:pPr>
        <w:spacing w:after="0" w:line="240" w:lineRule="auto"/>
        <w:rPr>
          <w:lang w:eastAsia="en-US"/>
        </w:rPr>
      </w:pPr>
    </w:p>
    <w:p w14:paraId="0F3E7849" w14:textId="7A36704E" w:rsidR="00751A39" w:rsidRDefault="00751A39" w:rsidP="003B77F4">
      <w:pPr>
        <w:spacing w:after="0" w:line="240" w:lineRule="auto"/>
      </w:pPr>
      <w:r w:rsidRPr="00F739A1">
        <w:rPr>
          <w:b/>
        </w:rPr>
        <w:t>Proposal 1:</w:t>
      </w:r>
      <w:r>
        <w:t xml:space="preserve"> For the </w:t>
      </w:r>
      <w:r w:rsidRPr="009709C5">
        <w:t>gNB emulator SNR uncertainty</w:t>
      </w:r>
      <w:r>
        <w:t xml:space="preserve"> reuse the value of 0.3 dB for PC1. </w:t>
      </w:r>
    </w:p>
    <w:p w14:paraId="157F6A5B" w14:textId="55F45EE8" w:rsidR="00751A39" w:rsidRDefault="00751A39" w:rsidP="003B77F4">
      <w:pPr>
        <w:spacing w:after="0" w:line="240" w:lineRule="auto"/>
        <w:rPr>
          <w:lang w:eastAsia="en-US"/>
        </w:rPr>
      </w:pPr>
    </w:p>
    <w:p w14:paraId="34A7A27A" w14:textId="50AF5C96" w:rsidR="00751A39" w:rsidRDefault="00751A39" w:rsidP="003B77F4">
      <w:pPr>
        <w:spacing w:after="0" w:line="240" w:lineRule="auto"/>
        <w:rPr>
          <w:lang w:eastAsia="en-US"/>
        </w:rPr>
      </w:pPr>
      <w:r w:rsidRPr="00F739A1">
        <w:rPr>
          <w:b/>
          <w:lang w:eastAsia="en-US"/>
        </w:rPr>
        <w:t>Proposal 2:</w:t>
      </w:r>
      <w:r>
        <w:rPr>
          <w:lang w:eastAsia="en-US"/>
        </w:rPr>
        <w:t xml:space="preserve"> For AWGN flatness and signal flatness apply a value of 3.6 dB for PC1, FR2a, FR2b, FR2c</w:t>
      </w:r>
      <w:r w:rsidR="00F739A1">
        <w:rPr>
          <w:lang w:eastAsia="en-US"/>
        </w:rPr>
        <w:t>,</w:t>
      </w:r>
      <w:r>
        <w:rPr>
          <w:lang w:eastAsia="en-US"/>
        </w:rPr>
        <w:t xml:space="preserve"> </w:t>
      </w:r>
      <w:r w:rsidR="00F739A1">
        <w:rPr>
          <w:lang w:eastAsia="en-US"/>
        </w:rPr>
        <w:t>CHBW ≤ 400 MHz</w:t>
      </w:r>
      <w:r w:rsidR="00F739A1" w:rsidRPr="005A0F2A">
        <w:rPr>
          <w:lang w:eastAsia="en-US"/>
        </w:rPr>
        <w:t xml:space="preserve">, IFF, max device size ≤ </w:t>
      </w:r>
      <w:r w:rsidR="001C2EF5">
        <w:rPr>
          <w:lang w:eastAsia="en-US"/>
        </w:rPr>
        <w:t>3</w:t>
      </w:r>
      <w:r w:rsidR="00F739A1" w:rsidRPr="005A0F2A">
        <w:rPr>
          <w:lang w:eastAsia="en-US"/>
        </w:rPr>
        <w:t>0 cm</w:t>
      </w:r>
      <w:r w:rsidR="00F739A1">
        <w:rPr>
          <w:lang w:eastAsia="en-US"/>
        </w:rPr>
        <w:t>.</w:t>
      </w:r>
    </w:p>
    <w:p w14:paraId="4602A810" w14:textId="77777777" w:rsidR="00F739A1" w:rsidRDefault="00F739A1" w:rsidP="003B77F4">
      <w:pPr>
        <w:spacing w:after="0" w:line="240" w:lineRule="auto"/>
        <w:rPr>
          <w:lang w:eastAsia="en-US"/>
        </w:rPr>
      </w:pPr>
    </w:p>
    <w:p w14:paraId="01791145" w14:textId="1854CE61" w:rsidR="00751A39" w:rsidRDefault="00751A39" w:rsidP="003B77F4">
      <w:pPr>
        <w:spacing w:after="0" w:line="240" w:lineRule="auto"/>
        <w:rPr>
          <w:lang w:eastAsia="en-US"/>
        </w:rPr>
      </w:pPr>
      <w:r w:rsidRPr="00F739A1">
        <w:rPr>
          <w:b/>
          <w:lang w:eastAsia="en-US"/>
        </w:rPr>
        <w:t>Proposal 3:</w:t>
      </w:r>
      <w:r>
        <w:rPr>
          <w:lang w:eastAsia="en-US"/>
        </w:rPr>
        <w:t xml:space="preserve"> For </w:t>
      </w:r>
      <w:r w:rsidRPr="009709C5">
        <w:t>gNB emulator fading model impairments</w:t>
      </w:r>
      <w:r>
        <w:t>, reuse the value of 0.5 dB for 1 Tx and 0.7 dB for 2Tx for PC1.</w:t>
      </w:r>
    </w:p>
    <w:p w14:paraId="5F9CAF87" w14:textId="1906B4D9" w:rsidR="00F739A1" w:rsidRDefault="00F739A1" w:rsidP="003B77F4">
      <w:pPr>
        <w:spacing w:after="0" w:line="240" w:lineRule="auto"/>
        <w:rPr>
          <w:lang w:eastAsia="en-US"/>
        </w:rPr>
      </w:pPr>
    </w:p>
    <w:p w14:paraId="469254FE" w14:textId="146D567F" w:rsidR="00751A39" w:rsidRPr="00680D34" w:rsidRDefault="00F739A1" w:rsidP="003B77F4">
      <w:pPr>
        <w:spacing w:after="0" w:line="240" w:lineRule="auto"/>
        <w:rPr>
          <w:rFonts w:eastAsia="MS Mincho"/>
          <w:lang w:eastAsia="ja-JP"/>
        </w:rPr>
      </w:pPr>
      <w:r>
        <w:rPr>
          <w:lang w:eastAsia="en-US"/>
        </w:rPr>
        <w:lastRenderedPageBreak/>
        <w:t xml:space="preserve">For the purpose of </w:t>
      </w:r>
      <w:r w:rsidR="00680D34">
        <w:rPr>
          <w:lang w:eastAsia="en-US"/>
        </w:rPr>
        <w:t xml:space="preserve">the </w:t>
      </w:r>
      <w:r>
        <w:rPr>
          <w:lang w:eastAsia="en-US"/>
        </w:rPr>
        <w:t>determination of</w:t>
      </w:r>
      <w:r w:rsidR="00680D34">
        <w:rPr>
          <w:lang w:eastAsia="en-US"/>
        </w:rPr>
        <w:t xml:space="preserve"> the</w:t>
      </w:r>
      <w:r>
        <w:rPr>
          <w:lang w:eastAsia="en-US"/>
        </w:rPr>
        <w:t xml:space="preserve"> maximum achievable SNR, we propose to reuse the MU value of EIS measurement uncertainty of PC1 Refsens TC (</w:t>
      </w:r>
      <w:r w:rsidRPr="009709C5">
        <w:t xml:space="preserve">Table </w:t>
      </w:r>
      <w:r w:rsidRPr="009709C5">
        <w:rPr>
          <w:rFonts w:eastAsia="MS Mincho"/>
          <w:lang w:eastAsia="ja-JP"/>
        </w:rPr>
        <w:t>B.19.2-3</w:t>
      </w:r>
      <w:r>
        <w:rPr>
          <w:rFonts w:eastAsia="MS Mincho"/>
          <w:lang w:eastAsia="ja-JP"/>
        </w:rPr>
        <w:t xml:space="preserve"> of TR 38.90</w:t>
      </w:r>
      <w:r>
        <w:rPr>
          <w:lang w:eastAsia="en-US"/>
        </w:rPr>
        <w:t>3)</w:t>
      </w:r>
      <w:r w:rsidR="00187C5D">
        <w:rPr>
          <w:lang w:eastAsia="en-US"/>
        </w:rPr>
        <w:t>,</w:t>
      </w:r>
      <w:r>
        <w:rPr>
          <w:lang w:eastAsia="en-US"/>
        </w:rPr>
        <w:t xml:space="preserve"> i.e., [5.58] dB.</w:t>
      </w:r>
    </w:p>
    <w:p w14:paraId="28990C2B" w14:textId="12749016" w:rsidR="00F739A1" w:rsidRDefault="00F739A1" w:rsidP="003B77F4">
      <w:pPr>
        <w:spacing w:after="0" w:line="240" w:lineRule="auto"/>
        <w:rPr>
          <w:lang w:eastAsia="en-US"/>
        </w:rPr>
      </w:pPr>
    </w:p>
    <w:p w14:paraId="103075D4" w14:textId="02D32215" w:rsidR="00F739A1" w:rsidRDefault="00F739A1" w:rsidP="00F739A1">
      <w:pPr>
        <w:spacing w:after="0" w:line="240" w:lineRule="auto"/>
        <w:rPr>
          <w:lang w:eastAsia="en-US"/>
        </w:rPr>
      </w:pPr>
      <w:r w:rsidRPr="00F739A1">
        <w:rPr>
          <w:b/>
          <w:lang w:eastAsia="en-US"/>
        </w:rPr>
        <w:t xml:space="preserve">Proposal </w:t>
      </w:r>
      <w:r w:rsidR="009B4C8D">
        <w:rPr>
          <w:b/>
          <w:lang w:eastAsia="en-US"/>
        </w:rPr>
        <w:t>4</w:t>
      </w:r>
      <w:r w:rsidRPr="00F739A1">
        <w:rPr>
          <w:b/>
          <w:lang w:eastAsia="en-US"/>
        </w:rPr>
        <w:t>:</w:t>
      </w:r>
      <w:r>
        <w:rPr>
          <w:lang w:eastAsia="en-US"/>
        </w:rPr>
        <w:t xml:space="preserve"> Reuse the MU value of EIS measurement uncertainty of PC1 Refsens TC (</w:t>
      </w:r>
      <w:r w:rsidRPr="009709C5">
        <w:t xml:space="preserve">Table </w:t>
      </w:r>
      <w:r w:rsidRPr="009709C5">
        <w:rPr>
          <w:rFonts w:eastAsia="MS Mincho"/>
          <w:lang w:eastAsia="ja-JP"/>
        </w:rPr>
        <w:t>B.19.2-3</w:t>
      </w:r>
      <w:r>
        <w:rPr>
          <w:rFonts w:eastAsia="MS Mincho"/>
          <w:lang w:eastAsia="ja-JP"/>
        </w:rPr>
        <w:t xml:space="preserve"> of TR 38.90</w:t>
      </w:r>
      <w:r>
        <w:rPr>
          <w:lang w:eastAsia="en-US"/>
        </w:rPr>
        <w:t xml:space="preserve">3), i.e., [5.58] dB for the </w:t>
      </w:r>
      <w:r w:rsidR="00F536AB">
        <w:rPr>
          <w:color w:val="000000"/>
        </w:rPr>
        <w:t>t</w:t>
      </w:r>
      <w:r w:rsidR="009B4C8D">
        <w:rPr>
          <w:color w:val="000000"/>
        </w:rPr>
        <w:t>est system DL setting uncertainty</w:t>
      </w:r>
      <w:r w:rsidR="009B4C8D">
        <w:rPr>
          <w:lang w:eastAsia="en-US"/>
        </w:rPr>
        <w:t xml:space="preserve"> </w:t>
      </w:r>
      <w:r>
        <w:rPr>
          <w:lang w:eastAsia="en-US"/>
        </w:rPr>
        <w:t>in the Demod SNR calculator spread sheets</w:t>
      </w:r>
      <w:r w:rsidR="00210254">
        <w:rPr>
          <w:lang w:eastAsia="en-US"/>
        </w:rPr>
        <w:t xml:space="preserve"> for PC1, FR2a, CHBW ≤ 400 MHz</w:t>
      </w:r>
      <w:r w:rsidR="00210254" w:rsidRPr="005A0F2A">
        <w:rPr>
          <w:lang w:eastAsia="en-US"/>
        </w:rPr>
        <w:t>, IFF, max device size ≤ 30 cm</w:t>
      </w:r>
      <w:r>
        <w:rPr>
          <w:lang w:eastAsia="en-US"/>
        </w:rPr>
        <w:t>.</w:t>
      </w:r>
    </w:p>
    <w:p w14:paraId="1CC853E4" w14:textId="093E1FE6" w:rsidR="00F739A1" w:rsidRDefault="00F739A1" w:rsidP="003B77F4">
      <w:pPr>
        <w:spacing w:after="0" w:line="240" w:lineRule="auto"/>
        <w:rPr>
          <w:lang w:eastAsia="en-US"/>
        </w:rPr>
      </w:pPr>
    </w:p>
    <w:p w14:paraId="3C71F0CF" w14:textId="5F55D922" w:rsidR="009608F4" w:rsidRDefault="00265606">
      <w:pPr>
        <w:spacing w:after="0" w:line="240" w:lineRule="auto"/>
        <w:rPr>
          <w:lang w:eastAsia="en-US"/>
        </w:rPr>
      </w:pPr>
      <w:r>
        <w:rPr>
          <w:lang w:eastAsia="en-US"/>
        </w:rPr>
        <w:t>The accompanying CR for the update of TR 38.903 [3] is contained in Ref. [4].</w:t>
      </w:r>
    </w:p>
    <w:p w14:paraId="71A6D7CC" w14:textId="0E5B43D9" w:rsidR="00BC6E8D" w:rsidRPr="003B77F4" w:rsidRDefault="00BC6E8D" w:rsidP="00BC6E8D">
      <w:pPr>
        <w:pStyle w:val="berschrift1"/>
        <w:rPr>
          <w:lang w:val="en-US"/>
        </w:rPr>
      </w:pPr>
      <w:r w:rsidRPr="003B77F4">
        <w:rPr>
          <w:lang w:val="en-US"/>
        </w:rPr>
        <w:t>Assumptions</w:t>
      </w:r>
    </w:p>
    <w:tbl>
      <w:tblPr>
        <w:tblStyle w:val="EinfacheTabelle2"/>
        <w:tblW w:w="9360" w:type="dxa"/>
        <w:tblInd w:w="-15" w:type="dxa"/>
        <w:tblLook w:val="0000" w:firstRow="0" w:lastRow="0" w:firstColumn="0" w:lastColumn="0" w:noHBand="0" w:noVBand="0"/>
      </w:tblPr>
      <w:tblGrid>
        <w:gridCol w:w="704"/>
        <w:gridCol w:w="4688"/>
        <w:gridCol w:w="3968"/>
      </w:tblGrid>
      <w:tr w:rsidR="00BC6E8D" w:rsidRPr="00BC6E8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7CAE34EE" w:rsidR="00B3129D" w:rsidRPr="00BC6E8D" w:rsidRDefault="005A0F2A" w:rsidP="00C77EBF">
            <w:pPr>
              <w:rPr>
                <w:lang w:val="en-GB" w:eastAsia="en-US"/>
              </w:rPr>
            </w:pPr>
            <w:r w:rsidRPr="005A0F2A">
              <w:rPr>
                <w:lang w:val="en-GB" w:eastAsia="en-US"/>
              </w:rPr>
              <w:t>FR2a</w:t>
            </w:r>
          </w:p>
        </w:tc>
      </w:tr>
      <w:tr w:rsidR="00C77EBF" w:rsidRPr="00BC6E8D"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32D1FDD3" w:rsidR="00C77EBF" w:rsidRPr="00BC6E8D" w:rsidRDefault="001F4A4F" w:rsidP="00C77EBF">
            <w:pPr>
              <w:rPr>
                <w:lang w:val="en-GB" w:eastAsia="en-US"/>
              </w:rPr>
            </w:pPr>
            <w:r>
              <w:rPr>
                <w:lang w:val="en-GB" w:eastAsia="en-US"/>
              </w:rPr>
              <w:t>PC1</w:t>
            </w:r>
          </w:p>
        </w:tc>
      </w:tr>
      <w:tr w:rsidR="001F4A4F" w:rsidRPr="00BC6E8D"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59CA8574" w:rsidR="001F4A4F" w:rsidRPr="00BC6E8D" w:rsidRDefault="001F4A4F" w:rsidP="001F4A4F">
            <w:pPr>
              <w:rPr>
                <w:lang w:val="en-GB" w:eastAsia="en-US"/>
              </w:rPr>
            </w:pPr>
            <w:r>
              <w:rPr>
                <w:lang w:val="en-GB" w:eastAsia="en-US"/>
              </w:rPr>
              <w:t>#</w:t>
            </w:r>
            <w:r w:rsidR="00F739A1">
              <w:rPr>
                <w:lang w:val="en-GB" w:eastAsia="en-US"/>
              </w:rPr>
              <w:t>4</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BC6E8D" w:rsidRDefault="001F4A4F" w:rsidP="001F4A4F">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BC6E8D" w:rsidRDefault="001F4A4F" w:rsidP="001F4A4F">
            <w:pPr>
              <w:rPr>
                <w:lang w:val="en-GB" w:eastAsia="en-US"/>
              </w:rPr>
            </w:pPr>
            <w:r>
              <w:rPr>
                <w:lang w:val="en-GB" w:eastAsia="en-US"/>
              </w:rPr>
              <w:t>20°C – 35°C</w:t>
            </w:r>
          </w:p>
        </w:tc>
      </w:tr>
      <w:tr w:rsidR="001F4A4F" w:rsidRPr="00BC6E8D"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35CF150F" w:rsidR="001F4A4F" w:rsidRPr="00BC6E8D" w:rsidRDefault="001F4A4F" w:rsidP="001F4A4F">
            <w:pPr>
              <w:rPr>
                <w:lang w:val="en-GB" w:eastAsia="en-US"/>
              </w:rPr>
            </w:pPr>
            <w:r>
              <w:rPr>
                <w:lang w:val="en-GB" w:eastAsia="en-US"/>
              </w:rPr>
              <w:t>#</w:t>
            </w:r>
            <w:r w:rsidR="00F739A1">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BC6E8D" w:rsidRDefault="001F4A4F" w:rsidP="001F4A4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1F4A4F" w:rsidRPr="00BC6E8D" w:rsidRDefault="001F4A4F" w:rsidP="001F4A4F">
            <w:pPr>
              <w:rPr>
                <w:lang w:val="en-GB" w:eastAsia="en-US"/>
              </w:rPr>
            </w:pPr>
            <w:r>
              <w:rPr>
                <w:lang w:val="en-GB" w:eastAsia="en-US"/>
              </w:rPr>
              <w:t>400 MHz</w:t>
            </w:r>
          </w:p>
        </w:tc>
      </w:tr>
    </w:tbl>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7165FF79" w:rsidR="00AA56D9" w:rsidRDefault="00D00445" w:rsidP="00AA56D9">
      <w:pPr>
        <w:rPr>
          <w:lang w:eastAsia="en-US"/>
        </w:rPr>
      </w:pPr>
      <w:r w:rsidRPr="00B55C47">
        <w:rPr>
          <w:lang w:eastAsia="en-US"/>
        </w:rPr>
        <w:t>In summary</w:t>
      </w:r>
      <w:r w:rsidR="00F739A1">
        <w:rPr>
          <w:lang w:eastAsia="en-US"/>
        </w:rPr>
        <w:t xml:space="preserve">, we have analyzed MU contributors for Demod </w:t>
      </w:r>
      <w:r w:rsidR="002F572C">
        <w:rPr>
          <w:lang w:eastAsia="en-US"/>
        </w:rPr>
        <w:t>PC1.</w:t>
      </w:r>
    </w:p>
    <w:p w14:paraId="4F304002" w14:textId="77777777" w:rsidR="00F739A1" w:rsidRDefault="00F739A1" w:rsidP="00F739A1">
      <w:pPr>
        <w:spacing w:after="0" w:line="240" w:lineRule="auto"/>
      </w:pPr>
      <w:bookmarkStart w:id="11" w:name="_Ref473660868"/>
      <w:bookmarkStart w:id="12" w:name="_Ref473660708"/>
      <w:bookmarkStart w:id="13" w:name="OLE_LINK6"/>
      <w:bookmarkStart w:id="14" w:name="OLE_LINK7"/>
      <w:r w:rsidRPr="00F739A1">
        <w:rPr>
          <w:b/>
        </w:rPr>
        <w:t>Proposal 1:</w:t>
      </w:r>
      <w:r>
        <w:t xml:space="preserve"> For the </w:t>
      </w:r>
      <w:r w:rsidRPr="009709C5">
        <w:t>gNB emulator SNR uncertainty</w:t>
      </w:r>
      <w:r>
        <w:t xml:space="preserve"> reuse the value of 0.3 dB for PC1. </w:t>
      </w:r>
    </w:p>
    <w:p w14:paraId="09146A64" w14:textId="77777777" w:rsidR="00F739A1" w:rsidRDefault="00F739A1" w:rsidP="00F739A1">
      <w:pPr>
        <w:spacing w:after="0" w:line="240" w:lineRule="auto"/>
        <w:rPr>
          <w:lang w:eastAsia="en-US"/>
        </w:rPr>
      </w:pPr>
    </w:p>
    <w:p w14:paraId="6F4233C0" w14:textId="2AA6272E" w:rsidR="00F739A1" w:rsidRDefault="00F739A1" w:rsidP="00F739A1">
      <w:pPr>
        <w:spacing w:after="0" w:line="240" w:lineRule="auto"/>
        <w:rPr>
          <w:lang w:eastAsia="en-US"/>
        </w:rPr>
      </w:pPr>
      <w:r w:rsidRPr="00F739A1">
        <w:rPr>
          <w:b/>
          <w:lang w:eastAsia="en-US"/>
        </w:rPr>
        <w:t>Proposal 2:</w:t>
      </w:r>
      <w:r>
        <w:rPr>
          <w:lang w:eastAsia="en-US"/>
        </w:rPr>
        <w:t xml:space="preserve"> For AWGN flatness and signal flatness apply a value of 3.6 dB for PC1, FR2a, FR2b, FR2c, CHBW ≤ 400 MHz</w:t>
      </w:r>
      <w:r w:rsidRPr="005A0F2A">
        <w:rPr>
          <w:lang w:eastAsia="en-US"/>
        </w:rPr>
        <w:t xml:space="preserve">, IFF, max device size ≤ </w:t>
      </w:r>
      <w:r w:rsidR="001C2EF5">
        <w:rPr>
          <w:lang w:eastAsia="en-US"/>
        </w:rPr>
        <w:t>3</w:t>
      </w:r>
      <w:r w:rsidRPr="005A0F2A">
        <w:rPr>
          <w:lang w:eastAsia="en-US"/>
        </w:rPr>
        <w:t>0 cm</w:t>
      </w:r>
      <w:r>
        <w:rPr>
          <w:lang w:eastAsia="en-US"/>
        </w:rPr>
        <w:t>.</w:t>
      </w:r>
    </w:p>
    <w:p w14:paraId="59C83A25" w14:textId="77777777" w:rsidR="00F739A1" w:rsidRDefault="00F739A1" w:rsidP="00F739A1">
      <w:pPr>
        <w:spacing w:after="0" w:line="240" w:lineRule="auto"/>
        <w:rPr>
          <w:lang w:eastAsia="en-US"/>
        </w:rPr>
      </w:pPr>
    </w:p>
    <w:p w14:paraId="716B7EC5" w14:textId="77777777" w:rsidR="00F739A1" w:rsidRDefault="00F739A1" w:rsidP="00F739A1">
      <w:pPr>
        <w:spacing w:after="0" w:line="240" w:lineRule="auto"/>
        <w:rPr>
          <w:lang w:eastAsia="en-US"/>
        </w:rPr>
      </w:pPr>
      <w:r w:rsidRPr="00F739A1">
        <w:rPr>
          <w:b/>
          <w:lang w:eastAsia="en-US"/>
        </w:rPr>
        <w:t>Proposal 3:</w:t>
      </w:r>
      <w:r>
        <w:rPr>
          <w:lang w:eastAsia="en-US"/>
        </w:rPr>
        <w:t xml:space="preserve"> For </w:t>
      </w:r>
      <w:r w:rsidRPr="009709C5">
        <w:t>gNB emulator fading model impairments</w:t>
      </w:r>
      <w:r>
        <w:t>, reuse the value of 0.5 dB for 1 Tx and 0.7 dB for 2Tx for PC1.</w:t>
      </w:r>
    </w:p>
    <w:p w14:paraId="03B0163A" w14:textId="77777777" w:rsidR="009608F4" w:rsidRDefault="009608F4" w:rsidP="00F739A1">
      <w:pPr>
        <w:spacing w:after="0" w:line="240" w:lineRule="auto"/>
        <w:rPr>
          <w:lang w:eastAsia="en-US"/>
        </w:rPr>
      </w:pPr>
    </w:p>
    <w:p w14:paraId="1BBD855C" w14:textId="3FFC8394" w:rsidR="00210254" w:rsidRDefault="00210254" w:rsidP="00210254">
      <w:pPr>
        <w:spacing w:after="0" w:line="240" w:lineRule="auto"/>
        <w:rPr>
          <w:lang w:eastAsia="en-US"/>
        </w:rPr>
      </w:pPr>
      <w:r w:rsidRPr="00F739A1">
        <w:rPr>
          <w:b/>
          <w:lang w:eastAsia="en-US"/>
        </w:rPr>
        <w:t xml:space="preserve">Proposal </w:t>
      </w:r>
      <w:r>
        <w:rPr>
          <w:b/>
          <w:lang w:eastAsia="en-US"/>
        </w:rPr>
        <w:t>4</w:t>
      </w:r>
      <w:r w:rsidRPr="00F739A1">
        <w:rPr>
          <w:b/>
          <w:lang w:eastAsia="en-US"/>
        </w:rPr>
        <w:t>:</w:t>
      </w:r>
      <w:r>
        <w:rPr>
          <w:lang w:eastAsia="en-US"/>
        </w:rPr>
        <w:t xml:space="preserve"> Reuse the MU value of EIS measurement uncertainty of PC1 Refsens TC (</w:t>
      </w:r>
      <w:r w:rsidRPr="009709C5">
        <w:t xml:space="preserve">Table </w:t>
      </w:r>
      <w:r w:rsidRPr="009709C5">
        <w:rPr>
          <w:rFonts w:eastAsia="MS Mincho"/>
          <w:lang w:eastAsia="ja-JP"/>
        </w:rPr>
        <w:t>B.19.2-3</w:t>
      </w:r>
      <w:r>
        <w:rPr>
          <w:rFonts w:eastAsia="MS Mincho"/>
          <w:lang w:eastAsia="ja-JP"/>
        </w:rPr>
        <w:t xml:space="preserve"> of TR 38.90</w:t>
      </w:r>
      <w:r>
        <w:rPr>
          <w:lang w:eastAsia="en-US"/>
        </w:rPr>
        <w:t xml:space="preserve">3), i.e., [5.58] dB for the </w:t>
      </w:r>
      <w:r w:rsidR="00F536AB">
        <w:rPr>
          <w:color w:val="000000"/>
        </w:rPr>
        <w:t>t</w:t>
      </w:r>
      <w:bookmarkStart w:id="15" w:name="_GoBack"/>
      <w:bookmarkEnd w:id="15"/>
      <w:r>
        <w:rPr>
          <w:color w:val="000000"/>
        </w:rPr>
        <w:t>est system DL setting uncertainty</w:t>
      </w:r>
      <w:r>
        <w:rPr>
          <w:lang w:eastAsia="en-US"/>
        </w:rPr>
        <w:t xml:space="preserve"> in the Demod SNR calculator spread sheets for PC1, FR2a, CHBW ≤ 400 MHz</w:t>
      </w:r>
      <w:r w:rsidRPr="005A0F2A">
        <w:rPr>
          <w:lang w:eastAsia="en-US"/>
        </w:rPr>
        <w:t>, IFF, max device size ≤ 30 cm</w:t>
      </w:r>
      <w:r>
        <w:rPr>
          <w:lang w:eastAsia="en-US"/>
        </w:rPr>
        <w:t>.</w:t>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11"/>
    <w:bookmarkEnd w:id="12"/>
    <w:bookmarkEnd w:id="13"/>
    <w:bookmarkEnd w:id="14"/>
    <w:p w14:paraId="55116E2D" w14:textId="798BEABE" w:rsidR="009C0AB8" w:rsidRDefault="00751A39" w:rsidP="00BA74A9">
      <w:pPr>
        <w:pStyle w:val="Listenabsatz"/>
        <w:numPr>
          <w:ilvl w:val="0"/>
          <w:numId w:val="4"/>
        </w:numPr>
        <w:spacing w:before="120"/>
        <w:rPr>
          <w:lang w:val="en-US"/>
        </w:rPr>
      </w:pPr>
      <w:r w:rsidRPr="00751A39">
        <w:rPr>
          <w:lang w:val="en-US"/>
        </w:rPr>
        <w:t>R5-225640</w:t>
      </w:r>
      <w:r w:rsidR="00BA74A9" w:rsidRPr="00BA74A9">
        <w:rPr>
          <w:lang w:val="en-US"/>
        </w:rPr>
        <w:t xml:space="preserve">, </w:t>
      </w:r>
      <w:r w:rsidRPr="00751A39">
        <w:rPr>
          <w:lang w:val="en-US"/>
        </w:rPr>
        <w:t>Applicability of FWA devices for Demod and RRM test cases</w:t>
      </w:r>
      <w:r w:rsidR="00BA74A9" w:rsidRPr="00BA74A9">
        <w:rPr>
          <w:lang w:val="en-US"/>
        </w:rPr>
        <w:t xml:space="preserve">, </w:t>
      </w:r>
      <w:r w:rsidRPr="00751A39">
        <w:rPr>
          <w:lang w:val="en-US"/>
        </w:rPr>
        <w:t>Qualcomm Korea</w:t>
      </w:r>
      <w:r w:rsidR="00BA74A9" w:rsidRPr="00BA74A9">
        <w:rPr>
          <w:lang w:val="en-US"/>
        </w:rPr>
        <w:t xml:space="preserve">, </w:t>
      </w:r>
      <w:r>
        <w:rPr>
          <w:lang w:val="en-US"/>
        </w:rPr>
        <w:t>3</w:t>
      </w:r>
      <w:r w:rsidR="00BA74A9">
        <w:rPr>
          <w:lang w:val="en-US"/>
        </w:rPr>
        <w:t>GPP TSG RAN WG5 Meeting #9</w:t>
      </w:r>
      <w:r>
        <w:rPr>
          <w:lang w:val="en-US"/>
        </w:rPr>
        <w:t>6</w:t>
      </w:r>
      <w:r w:rsidR="00BA74A9" w:rsidRPr="00902B44">
        <w:rPr>
          <w:lang w:val="en-US"/>
        </w:rPr>
        <w:t xml:space="preserve">-e, </w:t>
      </w:r>
      <w:r>
        <w:rPr>
          <w:lang w:val="en-US"/>
        </w:rPr>
        <w:t>August</w:t>
      </w:r>
      <w:r w:rsidR="00BA74A9">
        <w:rPr>
          <w:lang w:val="en-US"/>
        </w:rPr>
        <w:t xml:space="preserve"> 202</w:t>
      </w:r>
      <w:r>
        <w:rPr>
          <w:lang w:val="en-US"/>
        </w:rPr>
        <w:t>2</w:t>
      </w:r>
    </w:p>
    <w:p w14:paraId="38A12303" w14:textId="7B77D8CC" w:rsidR="00AB189B" w:rsidRPr="00265606" w:rsidRDefault="00AB189B" w:rsidP="00AB189B">
      <w:pPr>
        <w:pStyle w:val="Listenabsatz"/>
        <w:numPr>
          <w:ilvl w:val="0"/>
          <w:numId w:val="4"/>
        </w:numPr>
        <w:spacing w:before="120"/>
        <w:rPr>
          <w:lang w:val="en-US"/>
        </w:rPr>
      </w:pPr>
      <w:r>
        <w:rPr>
          <w:lang w:val="en-US"/>
        </w:rPr>
        <w:t>TS 38.521-4, V17.0.0</w:t>
      </w:r>
      <w:r>
        <w:t>, 3GPP TSG RAN WG5, September 2022</w:t>
      </w:r>
    </w:p>
    <w:p w14:paraId="3FC4F615" w14:textId="7A10EB08" w:rsidR="00265606" w:rsidRPr="00265606" w:rsidRDefault="00265606" w:rsidP="00AB189B">
      <w:pPr>
        <w:pStyle w:val="Listenabsatz"/>
        <w:numPr>
          <w:ilvl w:val="0"/>
          <w:numId w:val="4"/>
        </w:numPr>
        <w:spacing w:before="120"/>
        <w:rPr>
          <w:lang w:val="en-US"/>
        </w:rPr>
      </w:pPr>
      <w:r>
        <w:rPr>
          <w:lang w:val="en-US"/>
        </w:rPr>
        <w:t>TR 38.903, V16.13.0,</w:t>
      </w:r>
      <w:r>
        <w:t xml:space="preserve"> 3GPP TSG RAN WG5, September 2022</w:t>
      </w:r>
    </w:p>
    <w:p w14:paraId="07B96700" w14:textId="20EA3D0D" w:rsidR="00AB189B" w:rsidRPr="00265606" w:rsidRDefault="00265606" w:rsidP="00265606">
      <w:pPr>
        <w:pStyle w:val="Listenabsatz"/>
        <w:numPr>
          <w:ilvl w:val="0"/>
          <w:numId w:val="4"/>
        </w:numPr>
        <w:spacing w:before="120"/>
        <w:rPr>
          <w:lang w:val="en-US"/>
        </w:rPr>
      </w:pPr>
      <w:r w:rsidRPr="00265606">
        <w:rPr>
          <w:lang w:val="en-US"/>
        </w:rPr>
        <w:t>R5-226534</w:t>
      </w:r>
      <w:r>
        <w:rPr>
          <w:lang w:val="en-US"/>
        </w:rPr>
        <w:t xml:space="preserve">, </w:t>
      </w:r>
      <w:r w:rsidRPr="00265606">
        <w:rPr>
          <w:lang w:val="en-US"/>
        </w:rPr>
        <w:t>Update of MU for PC1 Demod</w:t>
      </w:r>
      <w:r>
        <w:rPr>
          <w:lang w:val="en-US"/>
        </w:rPr>
        <w:t xml:space="preserve">, </w:t>
      </w:r>
      <w:r w:rsidRPr="00265606">
        <w:rPr>
          <w:lang w:val="en-US"/>
        </w:rPr>
        <w:t>Rohde &amp; Schwarz</w:t>
      </w:r>
      <w:r>
        <w:rPr>
          <w:lang w:val="en-US"/>
        </w:rPr>
        <w:t>, 3GPP TSG RAN WG5 Meeting #97</w:t>
      </w:r>
      <w:r w:rsidRPr="00902B44">
        <w:rPr>
          <w:lang w:val="en-US"/>
        </w:rPr>
        <w:t xml:space="preserve">, </w:t>
      </w:r>
      <w:r>
        <w:rPr>
          <w:lang w:val="en-US"/>
        </w:rPr>
        <w:t>November 2022</w:t>
      </w:r>
    </w:p>
    <w:sectPr w:rsidR="00AB189B" w:rsidRPr="00265606" w:rsidSect="00265606">
      <w:headerReference w:type="even" r:id="rId8"/>
      <w:headerReference w:type="default" r:id="rId9"/>
      <w:footerReference w:type="default" r:id="rId10"/>
      <w:headerReference w:type="first" r:id="rId11"/>
      <w:type w:val="continuous"/>
      <w:pgSz w:w="12240" w:h="15840"/>
      <w:pgMar w:top="1276"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A496D" w14:textId="77777777" w:rsidR="00B700BC" w:rsidRDefault="00B700BC" w:rsidP="00371D7D">
      <w:r>
        <w:separator/>
      </w:r>
    </w:p>
  </w:endnote>
  <w:endnote w:type="continuationSeparator" w:id="0">
    <w:p w14:paraId="246AE691" w14:textId="77777777" w:rsidR="00B700BC" w:rsidRDefault="00B700B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751A39" w:rsidRPr="000E7B1E" w:rsidRDefault="00751A3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0B978" w14:textId="77777777" w:rsidR="00B700BC" w:rsidRDefault="00B700BC" w:rsidP="00371D7D">
      <w:r>
        <w:separator/>
      </w:r>
    </w:p>
  </w:footnote>
  <w:footnote w:type="continuationSeparator" w:id="0">
    <w:p w14:paraId="1C47534B" w14:textId="77777777" w:rsidR="00B700BC" w:rsidRDefault="00B700B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751A39" w:rsidRDefault="00751A39">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751A39" w:rsidRPr="00A11327" w:rsidRDefault="00751A39"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751A39" w:rsidRPr="00A11327" w:rsidRDefault="00751A39"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751A39" w:rsidRDefault="00751A39">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751A39" w:rsidRPr="00A11327" w:rsidRDefault="00751A39"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751A39" w:rsidRPr="00A11327" w:rsidRDefault="00751A39"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751A39" w:rsidRDefault="00751A39">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751A39" w:rsidRPr="00A11327" w:rsidRDefault="00751A39"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751A39" w:rsidRPr="00A11327" w:rsidRDefault="00751A39"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714"/>
    <w:rsid w:val="00032AC4"/>
    <w:rsid w:val="000357C4"/>
    <w:rsid w:val="00036082"/>
    <w:rsid w:val="00037F59"/>
    <w:rsid w:val="000402B6"/>
    <w:rsid w:val="00040F64"/>
    <w:rsid w:val="00043C77"/>
    <w:rsid w:val="00043D57"/>
    <w:rsid w:val="00044187"/>
    <w:rsid w:val="0004547C"/>
    <w:rsid w:val="00045894"/>
    <w:rsid w:val="00047428"/>
    <w:rsid w:val="00047E71"/>
    <w:rsid w:val="00047E75"/>
    <w:rsid w:val="000505C8"/>
    <w:rsid w:val="00052708"/>
    <w:rsid w:val="0005282F"/>
    <w:rsid w:val="0005296D"/>
    <w:rsid w:val="00054DB3"/>
    <w:rsid w:val="00057FA0"/>
    <w:rsid w:val="000619DA"/>
    <w:rsid w:val="0006221F"/>
    <w:rsid w:val="00062ECE"/>
    <w:rsid w:val="00063C4D"/>
    <w:rsid w:val="0006466D"/>
    <w:rsid w:val="000652BE"/>
    <w:rsid w:val="0006555A"/>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4B8D"/>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2716"/>
    <w:rsid w:val="00123745"/>
    <w:rsid w:val="00126CE6"/>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34AC"/>
    <w:rsid w:val="001747B0"/>
    <w:rsid w:val="00174ED5"/>
    <w:rsid w:val="00176658"/>
    <w:rsid w:val="00176791"/>
    <w:rsid w:val="00180494"/>
    <w:rsid w:val="001810A2"/>
    <w:rsid w:val="00184003"/>
    <w:rsid w:val="00187C5D"/>
    <w:rsid w:val="00193A32"/>
    <w:rsid w:val="00194FD3"/>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2EF5"/>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254"/>
    <w:rsid w:val="00210BB9"/>
    <w:rsid w:val="002119D0"/>
    <w:rsid w:val="00211B0D"/>
    <w:rsid w:val="00212846"/>
    <w:rsid w:val="00215CC4"/>
    <w:rsid w:val="002165A4"/>
    <w:rsid w:val="00216986"/>
    <w:rsid w:val="00216A6B"/>
    <w:rsid w:val="002173DB"/>
    <w:rsid w:val="00220316"/>
    <w:rsid w:val="0022150D"/>
    <w:rsid w:val="002225C4"/>
    <w:rsid w:val="00224203"/>
    <w:rsid w:val="00224255"/>
    <w:rsid w:val="002246F3"/>
    <w:rsid w:val="0022473C"/>
    <w:rsid w:val="00225856"/>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579EE"/>
    <w:rsid w:val="00265606"/>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5E41"/>
    <w:rsid w:val="002A659B"/>
    <w:rsid w:val="002B111A"/>
    <w:rsid w:val="002B3C4B"/>
    <w:rsid w:val="002B5523"/>
    <w:rsid w:val="002B5708"/>
    <w:rsid w:val="002B5F65"/>
    <w:rsid w:val="002B7900"/>
    <w:rsid w:val="002C098B"/>
    <w:rsid w:val="002C3A4F"/>
    <w:rsid w:val="002C48E9"/>
    <w:rsid w:val="002C4A4C"/>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45"/>
    <w:rsid w:val="003112E8"/>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92514"/>
    <w:rsid w:val="00397E2F"/>
    <w:rsid w:val="003A0E48"/>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2C2B"/>
    <w:rsid w:val="003C3D66"/>
    <w:rsid w:val="003C4DDA"/>
    <w:rsid w:val="003C5B3F"/>
    <w:rsid w:val="003C6C99"/>
    <w:rsid w:val="003C7428"/>
    <w:rsid w:val="003D0711"/>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05419"/>
    <w:rsid w:val="004076D1"/>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1A8"/>
    <w:rsid w:val="004E3358"/>
    <w:rsid w:val="004E3BCC"/>
    <w:rsid w:val="004E4907"/>
    <w:rsid w:val="004F17EE"/>
    <w:rsid w:val="004F2200"/>
    <w:rsid w:val="004F26B4"/>
    <w:rsid w:val="004F27A7"/>
    <w:rsid w:val="004F36A7"/>
    <w:rsid w:val="004F372D"/>
    <w:rsid w:val="004F4D21"/>
    <w:rsid w:val="004F5554"/>
    <w:rsid w:val="004F593F"/>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55C"/>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96A25"/>
    <w:rsid w:val="005A04AB"/>
    <w:rsid w:val="005A09F0"/>
    <w:rsid w:val="005A0F2A"/>
    <w:rsid w:val="005A14F1"/>
    <w:rsid w:val="005A1C85"/>
    <w:rsid w:val="005A50B4"/>
    <w:rsid w:val="005C1279"/>
    <w:rsid w:val="005C517E"/>
    <w:rsid w:val="005C5210"/>
    <w:rsid w:val="005C576D"/>
    <w:rsid w:val="005C72FD"/>
    <w:rsid w:val="005C761F"/>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59D8"/>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1CFD"/>
    <w:rsid w:val="00664147"/>
    <w:rsid w:val="00664F1A"/>
    <w:rsid w:val="00667A9C"/>
    <w:rsid w:val="00670CFC"/>
    <w:rsid w:val="0067274C"/>
    <w:rsid w:val="006731CE"/>
    <w:rsid w:val="00674B16"/>
    <w:rsid w:val="00674D96"/>
    <w:rsid w:val="00675624"/>
    <w:rsid w:val="006767CB"/>
    <w:rsid w:val="00680BBE"/>
    <w:rsid w:val="00680D34"/>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7575"/>
    <w:rsid w:val="006C049B"/>
    <w:rsid w:val="006C1445"/>
    <w:rsid w:val="006C2BAC"/>
    <w:rsid w:val="006C388F"/>
    <w:rsid w:val="006C4E24"/>
    <w:rsid w:val="006C574A"/>
    <w:rsid w:val="006C60BB"/>
    <w:rsid w:val="006C6ACE"/>
    <w:rsid w:val="006C74FF"/>
    <w:rsid w:val="006D3FD0"/>
    <w:rsid w:val="006D46B5"/>
    <w:rsid w:val="006E1A7C"/>
    <w:rsid w:val="006E1D64"/>
    <w:rsid w:val="006E2352"/>
    <w:rsid w:val="006E4F64"/>
    <w:rsid w:val="006E5BCE"/>
    <w:rsid w:val="006E6577"/>
    <w:rsid w:val="006E7C54"/>
    <w:rsid w:val="006F030D"/>
    <w:rsid w:val="006F1D3A"/>
    <w:rsid w:val="006F2C16"/>
    <w:rsid w:val="006F4D66"/>
    <w:rsid w:val="006F563A"/>
    <w:rsid w:val="006F5CCF"/>
    <w:rsid w:val="006F6335"/>
    <w:rsid w:val="006F73CF"/>
    <w:rsid w:val="006F7C37"/>
    <w:rsid w:val="0070104D"/>
    <w:rsid w:val="00704881"/>
    <w:rsid w:val="00704C0E"/>
    <w:rsid w:val="00705286"/>
    <w:rsid w:val="00706CB9"/>
    <w:rsid w:val="00707FFC"/>
    <w:rsid w:val="007123BB"/>
    <w:rsid w:val="00712BF6"/>
    <w:rsid w:val="00712C12"/>
    <w:rsid w:val="007138CB"/>
    <w:rsid w:val="00713CDE"/>
    <w:rsid w:val="00714D3D"/>
    <w:rsid w:val="0071657A"/>
    <w:rsid w:val="007174F8"/>
    <w:rsid w:val="00720003"/>
    <w:rsid w:val="00720FB7"/>
    <w:rsid w:val="00724558"/>
    <w:rsid w:val="007246E4"/>
    <w:rsid w:val="00725DCB"/>
    <w:rsid w:val="00726250"/>
    <w:rsid w:val="00727922"/>
    <w:rsid w:val="00731B27"/>
    <w:rsid w:val="007327DA"/>
    <w:rsid w:val="00733D87"/>
    <w:rsid w:val="00735D1F"/>
    <w:rsid w:val="007412C6"/>
    <w:rsid w:val="00744D61"/>
    <w:rsid w:val="007463C7"/>
    <w:rsid w:val="00746B62"/>
    <w:rsid w:val="007477D2"/>
    <w:rsid w:val="00747FFE"/>
    <w:rsid w:val="007510C4"/>
    <w:rsid w:val="00751A39"/>
    <w:rsid w:val="00751D47"/>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87C3D"/>
    <w:rsid w:val="007927C1"/>
    <w:rsid w:val="00793EA4"/>
    <w:rsid w:val="007944C3"/>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989"/>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4F4D"/>
    <w:rsid w:val="008A5259"/>
    <w:rsid w:val="008A7E8A"/>
    <w:rsid w:val="008B0514"/>
    <w:rsid w:val="008B12D0"/>
    <w:rsid w:val="008B3E44"/>
    <w:rsid w:val="008B3F63"/>
    <w:rsid w:val="008B4257"/>
    <w:rsid w:val="008B7827"/>
    <w:rsid w:val="008B7853"/>
    <w:rsid w:val="008C1017"/>
    <w:rsid w:val="008C2395"/>
    <w:rsid w:val="008C291E"/>
    <w:rsid w:val="008C2C73"/>
    <w:rsid w:val="008C3169"/>
    <w:rsid w:val="008C3C49"/>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9DF"/>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2BEB"/>
    <w:rsid w:val="00943082"/>
    <w:rsid w:val="009437F6"/>
    <w:rsid w:val="00944D07"/>
    <w:rsid w:val="00944E1A"/>
    <w:rsid w:val="0094526C"/>
    <w:rsid w:val="00946BBC"/>
    <w:rsid w:val="00950962"/>
    <w:rsid w:val="00952B8A"/>
    <w:rsid w:val="0095468A"/>
    <w:rsid w:val="0095562A"/>
    <w:rsid w:val="00957E70"/>
    <w:rsid w:val="009608F4"/>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4C8D"/>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2D"/>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3DC"/>
    <w:rsid w:val="00A4032F"/>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D07"/>
    <w:rsid w:val="00AA0F9B"/>
    <w:rsid w:val="00AA3AF8"/>
    <w:rsid w:val="00AA56D9"/>
    <w:rsid w:val="00AA66CB"/>
    <w:rsid w:val="00AA6FCB"/>
    <w:rsid w:val="00AA7167"/>
    <w:rsid w:val="00AA75F0"/>
    <w:rsid w:val="00AB0840"/>
    <w:rsid w:val="00AB0D1B"/>
    <w:rsid w:val="00AB16E7"/>
    <w:rsid w:val="00AB189B"/>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4F39"/>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65C6"/>
    <w:rsid w:val="00B4703A"/>
    <w:rsid w:val="00B50A51"/>
    <w:rsid w:val="00B548F0"/>
    <w:rsid w:val="00B55C47"/>
    <w:rsid w:val="00B57FE5"/>
    <w:rsid w:val="00B60110"/>
    <w:rsid w:val="00B61206"/>
    <w:rsid w:val="00B618F7"/>
    <w:rsid w:val="00B6395C"/>
    <w:rsid w:val="00B65660"/>
    <w:rsid w:val="00B65E1E"/>
    <w:rsid w:val="00B67FA8"/>
    <w:rsid w:val="00B700BC"/>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693A"/>
    <w:rsid w:val="00BF7A2F"/>
    <w:rsid w:val="00C0043D"/>
    <w:rsid w:val="00C006B0"/>
    <w:rsid w:val="00C0127E"/>
    <w:rsid w:val="00C02E85"/>
    <w:rsid w:val="00C04CEB"/>
    <w:rsid w:val="00C05C6D"/>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239"/>
    <w:rsid w:val="00CC6B35"/>
    <w:rsid w:val="00CC6DB6"/>
    <w:rsid w:val="00CD04C0"/>
    <w:rsid w:val="00CD1034"/>
    <w:rsid w:val="00CD46C7"/>
    <w:rsid w:val="00CD4D4B"/>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6236"/>
    <w:rsid w:val="00D1738E"/>
    <w:rsid w:val="00D176E5"/>
    <w:rsid w:val="00D20074"/>
    <w:rsid w:val="00D204DC"/>
    <w:rsid w:val="00D21BA0"/>
    <w:rsid w:val="00D23A0A"/>
    <w:rsid w:val="00D23C94"/>
    <w:rsid w:val="00D23EE1"/>
    <w:rsid w:val="00D24042"/>
    <w:rsid w:val="00D27579"/>
    <w:rsid w:val="00D305ED"/>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076C"/>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D15C0"/>
    <w:rsid w:val="00ED3FEF"/>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4C06"/>
    <w:rsid w:val="00F0525C"/>
    <w:rsid w:val="00F06974"/>
    <w:rsid w:val="00F07012"/>
    <w:rsid w:val="00F12AF0"/>
    <w:rsid w:val="00F12CBE"/>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36AB"/>
    <w:rsid w:val="00F54C48"/>
    <w:rsid w:val="00F554AC"/>
    <w:rsid w:val="00F56AA6"/>
    <w:rsid w:val="00F611E0"/>
    <w:rsid w:val="00F619BC"/>
    <w:rsid w:val="00F629E8"/>
    <w:rsid w:val="00F649E2"/>
    <w:rsid w:val="00F65070"/>
    <w:rsid w:val="00F651F2"/>
    <w:rsid w:val="00F667D6"/>
    <w:rsid w:val="00F678D1"/>
    <w:rsid w:val="00F71811"/>
    <w:rsid w:val="00F739A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608F4"/>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7347217">
      <w:bodyDiv w:val="1"/>
      <w:marLeft w:val="0"/>
      <w:marRight w:val="0"/>
      <w:marTop w:val="0"/>
      <w:marBottom w:val="0"/>
      <w:divBdr>
        <w:top w:val="none" w:sz="0" w:space="0" w:color="auto"/>
        <w:left w:val="none" w:sz="0" w:space="0" w:color="auto"/>
        <w:bottom w:val="none" w:sz="0" w:space="0" w:color="auto"/>
        <w:right w:val="none" w:sz="0" w:space="0" w:color="auto"/>
      </w:divBdr>
    </w:div>
    <w:div w:id="1659533287">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1229B-3EF2-4ECC-8196-C91A94AED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514</Words>
  <Characters>2933</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2022-08-26T10:45:00Z</dcterms:created>
  <dcterms:modified xsi:type="dcterms:W3CDTF">2022-11-05T08:09:00Z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